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bookmarkStart w:id="0" w:name="_GoBack"/>
    <w:bookmarkEnd w:id="0"/>
    <w:p w14:paraId="66E047D2" w14:textId="4D417263" w:rsidR="00857962" w:rsidRPr="00460028" w:rsidRDefault="009B28ED" w:rsidP="00857962">
      <w:pPr>
        <w:pStyle w:val="Title"/>
      </w:pPr>
      <w:r>
        <w:rPr>
          <w:noProof/>
          <w:lang w:val="en-IE" w:eastAsia="en-IE"/>
        </w:rPr>
        <mc:AlternateContent>
          <mc:Choice Requires="wps">
            <w:drawing>
              <wp:anchor distT="0" distB="0" distL="114300" distR="114300" simplePos="0" relativeHeight="251658752" behindDoc="0" locked="0" layoutInCell="1" allowOverlap="1" wp14:anchorId="053E5FF5" wp14:editId="44F3EA2F">
                <wp:simplePos x="0" y="0"/>
                <wp:positionH relativeFrom="column">
                  <wp:posOffset>-1177925</wp:posOffset>
                </wp:positionH>
                <wp:positionV relativeFrom="paragraph">
                  <wp:posOffset>1458595</wp:posOffset>
                </wp:positionV>
                <wp:extent cx="2867660" cy="402590"/>
                <wp:effectExtent l="1156335" t="0" r="1146175" b="0"/>
                <wp:wrapNone/>
                <wp:docPr id="7" name="Text Box 1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5400000">
                          <a:off x="0" y="0"/>
                          <a:ext cx="2867660" cy="402590"/>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4D6EEB" w14:textId="77777777" w:rsidR="00460028" w:rsidRDefault="00460028" w:rsidP="005F188D">
                            <w:pPr>
                              <w:autoSpaceDE w:val="0"/>
                              <w:autoSpaceDN w:val="0"/>
                              <w:adjustRightInd w:val="0"/>
                              <w:jc w:val="center"/>
                              <w:rPr>
                                <w:rFonts w:cs="Arial"/>
                                <w:color w:val="000000"/>
                              </w:rPr>
                            </w:pPr>
                            <w:r>
                              <w:rPr>
                                <w:rFonts w:cs="Arial"/>
                                <w:color w:val="000000"/>
                              </w:rPr>
                              <w:t>International Association of Marine Aids to Navigation and Lighthouse Authorities</w:t>
                            </w:r>
                          </w:p>
                        </w:txbxContent>
                      </wps:txbx>
                      <wps:bodyPr rot="0" vert="vert270"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15" o:spid="_x0000_s1026" type="#_x0000_t202" style="position:absolute;left:0;text-align:left;margin-left:-92.75pt;margin-top:114.85pt;width:225.8pt;height:31.7pt;rotation:-90;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" filled="f" fillcolor="#0c9" stroked="f">
                <v:textbox style="layout-flow:vertical;mso-layout-flow-alt:bottom-to-top">
                  <w:txbxContent>
                    <w:p w14:paraId="444D6EEB" w14:textId="77777777" w:rsidR="00460028" w:rsidRDefault="00460028" w:rsidP="005F188D">
                      <w:pPr>
                        <w:autoSpaceDE w:val="0"/>
                        <w:autoSpaceDN w:val="0"/>
                        <w:adjustRightInd w:val="0"/>
                        <w:jc w:val="center"/>
                        <w:rPr>
                          <w:rFonts w:cs="Arial"/>
                          <w:color w:val="000000"/>
                        </w:rPr>
                      </w:pPr>
                      <w:r>
                        <w:rPr>
                          <w:rFonts w:cs="Arial"/>
                          <w:color w:val="000000"/>
                        </w:rPr>
                        <w:t>International Association of Marine Aids to Navigation and Lighthouse Authorities</w:t>
                      </w:r>
                    </w:p>
                  </w:txbxContent>
                </v:textbox>
              </v:shape>
            </w:pict>
          </mc:Fallback>
        </mc:AlternateContent>
      </w:r>
      <w:r>
        <w:rPr>
          <w:noProof/>
          <w:lang w:val="en-IE" w:eastAsia="en-IE"/>
        </w:rPr>
        <mc:AlternateContent>
          <mc:Choice Requires="wps">
            <w:drawing>
              <wp:anchor distT="0" distB="0" distL="114300" distR="114300" simplePos="0" relativeHeight="251660800" behindDoc="0" locked="0" layoutInCell="1" allowOverlap="1" wp14:anchorId="5C6BDF0B" wp14:editId="31589E43">
                <wp:simplePos x="0" y="0"/>
                <wp:positionH relativeFrom="column">
                  <wp:posOffset>0</wp:posOffset>
                </wp:positionH>
                <wp:positionV relativeFrom="paragraph">
                  <wp:posOffset>288925</wp:posOffset>
                </wp:positionV>
                <wp:extent cx="635" cy="8344535"/>
                <wp:effectExtent l="0" t="0" r="37465" b="18415"/>
                <wp:wrapNone/>
                <wp:docPr id="6" name="Line 1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5" cy="83445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mv="urn:schemas-microsoft-com:mac:vml" xmlns:mo="http://schemas.microsoft.com/office/mac/office/2008/main">
            <w:pict>
              <v:line id="Line 117" o:spid="_x0000_s1026" style="position:absolute;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2.75pt" to=".05pt,679.8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"/>
            </w:pict>
          </mc:Fallback>
        </mc:AlternateContent>
      </w:r>
      <w:r>
        <w:rPr>
          <w:noProof/>
          <w:lang w:val="en-IE" w:eastAsia="en-IE"/>
        </w:rPr>
        <mc:AlternateContent>
          <mc:Choice Requires="wps">
            <w:drawing>
              <wp:anchor distT="0" distB="0" distL="114299" distR="114299" simplePos="0" relativeHeight="251659776" behindDoc="0" locked="0" layoutInCell="1" allowOverlap="1" wp14:anchorId="2FBC2E15" wp14:editId="6140A8E1">
                <wp:simplePos x="0" y="0"/>
                <wp:positionH relativeFrom="column">
                  <wp:posOffset>513714</wp:posOffset>
                </wp:positionH>
                <wp:positionV relativeFrom="paragraph">
                  <wp:posOffset>288925</wp:posOffset>
                </wp:positionV>
                <wp:extent cx="0" cy="8310245"/>
                <wp:effectExtent l="0" t="0" r="19050" b="14605"/>
                <wp:wrapNone/>
                <wp:docPr id="5" name="Line 11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831024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mv="urn:schemas-microsoft-com:mac:vml" xmlns:mo="http://schemas.microsoft.com/office/mac/office/2008/main">
            <w:pict>
              <v:line id="Line 116" o:spid="_x0000_s1026" style="position:absolute;flip:y;z-index:251659776;visibility:visible;mso-wrap-style:square;mso-width-percent:0;mso-height-percent:0;mso-wrap-distance-left:114299emu;mso-wrap-distance-top:0;mso-wrap-distance-right:114299emu;mso-wrap-distance-bottom:0;mso-position-horizontal:absolute;mso-position-horizontal-relative:text;mso-position-vertical:absolute;mso-position-vertical-relative:text;mso-width-percent:0;mso-height-percent:0;mso-width-relative:page;mso-height-relative:page" from="40.45pt,22.75pt" to="40.45pt,677.1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"/>
            </w:pict>
          </mc:Fallback>
        </mc:AlternateContent>
      </w:r>
      <w:r>
        <w:rPr>
          <w:noProof/>
          <w:lang w:val="en-IE" w:eastAsia="en-IE"/>
        </w:rPr>
        <mc:AlternateContent>
          <mc:Choice Requires="wps">
            <w:drawing>
              <wp:anchor distT="0" distB="0" distL="114300" distR="114300" simplePos="0" relativeHeight="251657728" behindDoc="0" locked="0" layoutInCell="1" allowOverlap="1" wp14:anchorId="089BA3FF" wp14:editId="55EF2276">
                <wp:simplePos x="0" y="0"/>
                <wp:positionH relativeFrom="column">
                  <wp:posOffset>-2453005</wp:posOffset>
                </wp:positionH>
                <wp:positionV relativeFrom="paragraph">
                  <wp:posOffset>5688965</wp:posOffset>
                </wp:positionV>
                <wp:extent cx="5363210" cy="457200"/>
                <wp:effectExtent l="2376805" t="0" r="2366645" b="0"/>
                <wp:wrapNone/>
                <wp:docPr id="4" name="Text 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5400000">
                          <a:off x="0" y="0"/>
                          <a:ext cx="5363210" cy="457200"/>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B770FC2" w14:textId="77777777" w:rsidR="00460028" w:rsidRDefault="00460028" w:rsidP="00460028">
                            <w:pPr>
                              <w:autoSpaceDE w:val="0"/>
                              <w:autoSpaceDN w:val="0"/>
                              <w:adjustRightInd w:val="0"/>
                              <w:rPr>
                                <w:i/>
                                <w:iCs/>
                                <w:color w:val="000000"/>
                                <w:sz w:val="48"/>
                                <w:szCs w:val="48"/>
                                <w:lang w:val="fr-FR"/>
                              </w:rPr>
                            </w:pPr>
                            <w:r>
                              <w:rPr>
                                <w:rFonts w:cs="Arial"/>
                                <w:b/>
                                <w:bCs/>
                                <w:i/>
                                <w:iCs/>
                                <w:color w:val="000000"/>
                                <w:sz w:val="48"/>
                                <w:szCs w:val="48"/>
                                <w:lang w:val="fr-FR"/>
                              </w:rPr>
                              <w:t>AISM</w:t>
                            </w:r>
                            <w:r>
                              <w:rPr>
                                <w:rFonts w:cs="Arial"/>
                                <w:i/>
                                <w:iCs/>
                                <w:color w:val="000000"/>
                                <w:sz w:val="48"/>
                                <w:szCs w:val="48"/>
                                <w:lang w:val="fr-FR"/>
                              </w:rPr>
                              <w:t xml:space="preserve"> </w:t>
                            </w:r>
                            <w:r>
                              <w:rPr>
                                <w:rFonts w:cs="Arial"/>
                                <w:color w:val="000000"/>
                                <w:lang w:val="fr-FR"/>
                              </w:rPr>
                              <w:t xml:space="preserve">Association Internationale de Signalisation Maritime </w:t>
                            </w:r>
                            <w:r w:rsidR="00070873">
                              <w:rPr>
                                <w:rFonts w:cs="Arial"/>
                                <w:color w:val="000000"/>
                                <w:lang w:val="fr-FR"/>
                              </w:rPr>
                              <w:t xml:space="preserve">   </w:t>
                            </w:r>
                            <w:r>
                              <w:rPr>
                                <w:rFonts w:cs="Arial"/>
                                <w:i/>
                                <w:iCs/>
                                <w:color w:val="000000"/>
                                <w:lang w:val="fr-FR"/>
                              </w:rPr>
                              <w:t xml:space="preserve"> </w:t>
                            </w:r>
                            <w:r>
                              <w:rPr>
                                <w:rFonts w:cs="Arial"/>
                                <w:b/>
                                <w:bCs/>
                                <w:i/>
                                <w:iCs/>
                                <w:color w:val="000000"/>
                                <w:sz w:val="48"/>
                                <w:szCs w:val="48"/>
                                <w:lang w:val="fr-FR"/>
                              </w:rPr>
                              <w:t>IALA</w:t>
                            </w:r>
                          </w:p>
                        </w:txbxContent>
                      </wps:txbx>
                      <wps:bodyPr rot="0" vert="vert270"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14" o:spid="_x0000_s1027" type="#_x0000_t202" style="position:absolute;left:0;text-align:left;margin-left:-193.15pt;margin-top:447.95pt;width:422.3pt;height:36pt;rotation:-90;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" filled="f" fillcolor="#0c9" stroked="f">
                <v:textbox style="layout-flow:vertical;mso-layout-flow-alt:bottom-to-top">
                  <w:txbxContent>
                    <w:p w14:paraId="7B770FC2" w14:textId="77777777" w:rsidR="00460028" w:rsidRDefault="00460028" w:rsidP="00460028">
                      <w:pPr>
                        <w:autoSpaceDE w:val="0"/>
                        <w:autoSpaceDN w:val="0"/>
                        <w:adjustRightInd w:val="0"/>
                        <w:rPr>
                          <w:i/>
                          <w:iCs/>
                          <w:color w:val="000000"/>
                          <w:sz w:val="48"/>
                          <w:szCs w:val="48"/>
                          <w:lang w:val="fr-FR"/>
                        </w:rPr>
                      </w:pPr>
                      <w:r>
                        <w:rPr>
                          <w:rFonts w:cs="Arial"/>
                          <w:b/>
                          <w:bCs/>
                          <w:i/>
                          <w:iCs/>
                          <w:color w:val="000000"/>
                          <w:sz w:val="48"/>
                          <w:szCs w:val="48"/>
                          <w:lang w:val="fr-FR"/>
                        </w:rPr>
                        <w:t>AISM</w:t>
                      </w:r>
                      <w:r>
                        <w:rPr>
                          <w:rFonts w:cs="Arial"/>
                          <w:i/>
                          <w:iCs/>
                          <w:color w:val="000000"/>
                          <w:sz w:val="48"/>
                          <w:szCs w:val="48"/>
                          <w:lang w:val="fr-FR"/>
                        </w:rPr>
                        <w:t xml:space="preserve"> </w:t>
                      </w:r>
                      <w:r>
                        <w:rPr>
                          <w:rFonts w:cs="Arial"/>
                          <w:color w:val="000000"/>
                          <w:lang w:val="fr-FR"/>
                        </w:rPr>
                        <w:t xml:space="preserve">Association Internationale de Signalisation Maritime </w:t>
                      </w:r>
                      <w:r w:rsidR="00070873">
                        <w:rPr>
                          <w:rFonts w:cs="Arial"/>
                          <w:color w:val="000000"/>
                          <w:lang w:val="fr-FR"/>
                        </w:rPr>
                        <w:t xml:space="preserve">   </w:t>
                      </w:r>
                      <w:r>
                        <w:rPr>
                          <w:rFonts w:cs="Arial"/>
                          <w:i/>
                          <w:iCs/>
                          <w:color w:val="000000"/>
                          <w:lang w:val="fr-FR"/>
                        </w:rPr>
                        <w:t xml:space="preserve"> </w:t>
                      </w:r>
                      <w:r>
                        <w:rPr>
                          <w:rFonts w:cs="Arial"/>
                          <w:b/>
                          <w:bCs/>
                          <w:i/>
                          <w:iCs/>
                          <w:color w:val="000000"/>
                          <w:sz w:val="48"/>
                          <w:szCs w:val="48"/>
                          <w:lang w:val="fr-FR"/>
                        </w:rPr>
                        <w:t>IALA</w:t>
                      </w:r>
                    </w:p>
                  </w:txbxContent>
                </v:textbox>
              </v:shape>
            </w:pict>
          </mc:Fallback>
        </mc:AlternateContent>
      </w:r>
      <w:r>
        <w:rPr>
          <w:noProof/>
          <w:lang w:val="en-IE" w:eastAsia="en-IE"/>
        </w:rPr>
        <mc:AlternateContent>
          <mc:Choice Requires="wps">
            <w:drawing>
              <wp:anchor distT="0" distB="0" distL="114300" distR="114300" simplePos="0" relativeHeight="251656704" behindDoc="0" locked="0" layoutInCell="1" allowOverlap="1" wp14:anchorId="5209E4E1" wp14:editId="609E67AC">
                <wp:simplePos x="0" y="0"/>
                <wp:positionH relativeFrom="column">
                  <wp:posOffset>855345</wp:posOffset>
                </wp:positionH>
                <wp:positionV relativeFrom="paragraph">
                  <wp:posOffset>7433945</wp:posOffset>
                </wp:positionV>
                <wp:extent cx="4587875" cy="883920"/>
                <wp:effectExtent l="0" t="0" r="0" b="0"/>
                <wp:wrapNone/>
                <wp:docPr id="3" name="Text Box 1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87875" cy="883920"/>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F986C0" w14:textId="77777777" w:rsidR="00460028" w:rsidRPr="0044047B" w:rsidRDefault="00413466" w:rsidP="00460028">
                            <w:pPr>
                              <w:autoSpaceDE w:val="0"/>
                              <w:autoSpaceDN w:val="0"/>
                              <w:adjustRightInd w:val="0"/>
                              <w:jc w:val="center"/>
                              <w:rPr>
                                <w:rFonts w:cs="Arial"/>
                                <w:color w:val="000000"/>
                                <w:sz w:val="20"/>
                                <w:szCs w:val="18"/>
                              </w:rPr>
                            </w:pPr>
                            <w:r>
                              <w:rPr>
                                <w:rFonts w:cs="Arial"/>
                                <w:color w:val="000000"/>
                                <w:sz w:val="20"/>
                                <w:szCs w:val="18"/>
                                <w:lang w:val="fr-FR"/>
                              </w:rPr>
                              <w:t xml:space="preserve">10, rue des </w:t>
                            </w:r>
                            <w:proofErr w:type="spellStart"/>
                            <w:r>
                              <w:rPr>
                                <w:rFonts w:cs="Arial"/>
                                <w:color w:val="000000"/>
                                <w:sz w:val="20"/>
                                <w:szCs w:val="18"/>
                                <w:lang w:val="fr-FR"/>
                              </w:rPr>
                              <w:t>Gaudines</w:t>
                            </w:r>
                            <w:proofErr w:type="spellEnd"/>
                          </w:p>
                          <w:p w14:paraId="3FB35DB3" w14:textId="77777777" w:rsidR="00460028" w:rsidRPr="0044047B" w:rsidRDefault="00F9544D" w:rsidP="00460028">
                            <w:pPr>
                              <w:autoSpaceDE w:val="0"/>
                              <w:autoSpaceDN w:val="0"/>
                              <w:adjustRightInd w:val="0"/>
                              <w:jc w:val="center"/>
                              <w:rPr>
                                <w:rFonts w:cs="Arial"/>
                                <w:color w:val="000000"/>
                                <w:sz w:val="20"/>
                                <w:szCs w:val="18"/>
                              </w:rPr>
                            </w:pPr>
                            <w:proofErr w:type="gramStart"/>
                            <w:r w:rsidRPr="0044047B">
                              <w:rPr>
                                <w:rFonts w:cs="Arial"/>
                                <w:color w:val="000000"/>
                                <w:sz w:val="20"/>
                                <w:szCs w:val="18"/>
                              </w:rPr>
                              <w:t>78100</w:t>
                            </w:r>
                            <w:r>
                              <w:rPr>
                                <w:rFonts w:cs="Arial"/>
                                <w:color w:val="000000"/>
                                <w:sz w:val="20"/>
                                <w:szCs w:val="18"/>
                              </w:rPr>
                              <w:t xml:space="preserve"> </w:t>
                            </w:r>
                            <w:r w:rsidR="00460028" w:rsidRPr="0044047B">
                              <w:rPr>
                                <w:rFonts w:cs="Arial"/>
                                <w:color w:val="000000"/>
                                <w:sz w:val="20"/>
                                <w:szCs w:val="18"/>
                              </w:rPr>
                              <w:t xml:space="preserve">Saint </w:t>
                            </w:r>
                            <w:proofErr w:type="spellStart"/>
                            <w:r w:rsidR="00460028" w:rsidRPr="0044047B">
                              <w:rPr>
                                <w:rFonts w:cs="Arial"/>
                                <w:color w:val="000000"/>
                                <w:sz w:val="20"/>
                                <w:szCs w:val="18"/>
                              </w:rPr>
                              <w:t>Germain</w:t>
                            </w:r>
                            <w:proofErr w:type="spellEnd"/>
                            <w:r w:rsidR="00460028" w:rsidRPr="0044047B">
                              <w:rPr>
                                <w:rFonts w:cs="Arial"/>
                                <w:color w:val="000000"/>
                                <w:sz w:val="20"/>
                                <w:szCs w:val="18"/>
                              </w:rPr>
                              <w:t xml:space="preserve"> </w:t>
                            </w:r>
                            <w:proofErr w:type="spellStart"/>
                            <w:r w:rsidR="00460028" w:rsidRPr="0044047B">
                              <w:rPr>
                                <w:rFonts w:cs="Arial"/>
                                <w:color w:val="000000"/>
                                <w:sz w:val="20"/>
                                <w:szCs w:val="18"/>
                              </w:rPr>
                              <w:t>en</w:t>
                            </w:r>
                            <w:proofErr w:type="spellEnd"/>
                            <w:r w:rsidR="00460028" w:rsidRPr="0044047B">
                              <w:rPr>
                                <w:rFonts w:cs="Arial"/>
                                <w:color w:val="000000"/>
                                <w:sz w:val="20"/>
                                <w:szCs w:val="18"/>
                              </w:rPr>
                              <w:t xml:space="preserve"> </w:t>
                            </w:r>
                            <w:proofErr w:type="spellStart"/>
                            <w:r w:rsidR="00460028" w:rsidRPr="0044047B">
                              <w:rPr>
                                <w:rFonts w:cs="Arial"/>
                                <w:color w:val="000000"/>
                                <w:sz w:val="20"/>
                                <w:szCs w:val="18"/>
                              </w:rPr>
                              <w:t>Laye</w:t>
                            </w:r>
                            <w:proofErr w:type="spellEnd"/>
                            <w:r w:rsidR="00460028" w:rsidRPr="0044047B">
                              <w:rPr>
                                <w:rFonts w:cs="Arial"/>
                                <w:color w:val="000000"/>
                                <w:sz w:val="20"/>
                                <w:szCs w:val="18"/>
                              </w:rPr>
                              <w:t>, France</w:t>
                            </w:r>
                            <w:proofErr w:type="gramEnd"/>
                          </w:p>
                          <w:p w14:paraId="5F1E6FB8" w14:textId="77777777" w:rsidR="00460028" w:rsidRPr="0044047B" w:rsidRDefault="00460028" w:rsidP="00460028">
                            <w:pPr>
                              <w:autoSpaceDE w:val="0"/>
                              <w:autoSpaceDN w:val="0"/>
                              <w:adjustRightInd w:val="0"/>
                              <w:jc w:val="center"/>
                              <w:rPr>
                                <w:rFonts w:cs="Arial"/>
                                <w:color w:val="000000"/>
                                <w:sz w:val="20"/>
                                <w:szCs w:val="18"/>
                              </w:rPr>
                            </w:pPr>
                            <w:r w:rsidRPr="0044047B">
                              <w:rPr>
                                <w:rFonts w:cs="Arial"/>
                                <w:color w:val="000000"/>
                                <w:sz w:val="20"/>
                                <w:szCs w:val="18"/>
                              </w:rPr>
                              <w:t>Telephone</w:t>
                            </w:r>
                            <w:r w:rsidR="0044047B" w:rsidRPr="0044047B">
                              <w:rPr>
                                <w:rFonts w:cs="Arial"/>
                                <w:color w:val="000000"/>
                                <w:sz w:val="20"/>
                                <w:szCs w:val="18"/>
                              </w:rPr>
                              <w:t>:</w:t>
                            </w:r>
                            <w:r w:rsidRPr="0044047B">
                              <w:rPr>
                                <w:rFonts w:cs="Arial"/>
                                <w:color w:val="000000"/>
                                <w:sz w:val="20"/>
                                <w:szCs w:val="18"/>
                              </w:rPr>
                              <w:t xml:space="preserve"> +33 1 34 51 70 0</w:t>
                            </w:r>
                            <w:r w:rsidR="00070873">
                              <w:rPr>
                                <w:rFonts w:cs="Arial"/>
                                <w:color w:val="000000"/>
                                <w:sz w:val="20"/>
                                <w:szCs w:val="18"/>
                              </w:rPr>
                              <w:t>1</w:t>
                            </w:r>
                            <w:r w:rsidRPr="0044047B">
                              <w:rPr>
                                <w:rFonts w:cs="Arial"/>
                                <w:color w:val="000000"/>
                                <w:sz w:val="20"/>
                                <w:szCs w:val="18"/>
                              </w:rPr>
                              <w:t xml:space="preserve"> </w:t>
                            </w:r>
                            <w:r w:rsidR="0044047B" w:rsidRPr="0044047B">
                              <w:rPr>
                                <w:rFonts w:cs="Arial"/>
                                <w:color w:val="000000"/>
                                <w:sz w:val="20"/>
                                <w:szCs w:val="18"/>
                              </w:rPr>
                              <w:t xml:space="preserve"> </w:t>
                            </w:r>
                            <w:r w:rsidR="0044047B">
                              <w:rPr>
                                <w:rFonts w:cs="Arial"/>
                                <w:color w:val="000000"/>
                                <w:sz w:val="20"/>
                                <w:szCs w:val="18"/>
                              </w:rPr>
                              <w:t xml:space="preserve">  </w:t>
                            </w:r>
                            <w:r w:rsidR="0044047B" w:rsidRPr="0044047B">
                              <w:rPr>
                                <w:rFonts w:cs="Arial"/>
                                <w:color w:val="000000"/>
                                <w:sz w:val="20"/>
                                <w:szCs w:val="18"/>
                              </w:rPr>
                              <w:t>Fax:</w:t>
                            </w:r>
                            <w:r w:rsidR="00F9544D">
                              <w:rPr>
                                <w:rFonts w:cs="Arial"/>
                                <w:color w:val="000000"/>
                                <w:sz w:val="20"/>
                                <w:szCs w:val="18"/>
                              </w:rPr>
                              <w:t xml:space="preserve"> +33 1 34 51 82 05</w:t>
                            </w:r>
                          </w:p>
                          <w:p w14:paraId="2DB0E1ED" w14:textId="77777777" w:rsidR="00460028" w:rsidRPr="0044047B" w:rsidRDefault="00985597" w:rsidP="00070873">
                            <w:pPr>
                              <w:autoSpaceDE w:val="0"/>
                              <w:autoSpaceDN w:val="0"/>
                              <w:adjustRightInd w:val="0"/>
                              <w:jc w:val="center"/>
                              <w:rPr>
                                <w:rFonts w:cs="Arial"/>
                                <w:color w:val="000000"/>
                                <w:sz w:val="18"/>
                                <w:szCs w:val="18"/>
                              </w:rPr>
                            </w:pPr>
                            <w:proofErr w:type="gramStart"/>
                            <w:r>
                              <w:rPr>
                                <w:rFonts w:cs="Arial"/>
                                <w:color w:val="000000"/>
                                <w:sz w:val="20"/>
                                <w:szCs w:val="18"/>
                              </w:rPr>
                              <w:t>e</w:t>
                            </w:r>
                            <w:r w:rsidR="0044047B">
                              <w:rPr>
                                <w:rFonts w:cs="Arial"/>
                                <w:color w:val="000000"/>
                                <w:sz w:val="20"/>
                                <w:szCs w:val="18"/>
                              </w:rPr>
                              <w:t>-mail</w:t>
                            </w:r>
                            <w:proofErr w:type="gramEnd"/>
                            <w:r w:rsidR="0044047B">
                              <w:rPr>
                                <w:rFonts w:cs="Arial"/>
                                <w:color w:val="000000"/>
                                <w:sz w:val="20"/>
                                <w:szCs w:val="18"/>
                              </w:rPr>
                              <w:t xml:space="preserve">: </w:t>
                            </w:r>
                            <w:hyperlink r:id="rId9" w:history="1">
                              <w:r w:rsidR="009B28ED">
                                <w:rPr>
                                  <w:rStyle w:val="Hyperlink"/>
                                  <w:rFonts w:cs="Arial"/>
                                  <w:sz w:val="20"/>
                                  <w:szCs w:val="18"/>
                                </w:rPr>
                                <w:t>contact@iala-aism.org</w:t>
                              </w:r>
                            </w:hyperlink>
                            <w:r w:rsidR="00070873">
                              <w:rPr>
                                <w:rFonts w:cs="Arial"/>
                                <w:color w:val="000000"/>
                                <w:sz w:val="20"/>
                                <w:szCs w:val="18"/>
                              </w:rPr>
                              <w:t xml:space="preserve">       </w:t>
                            </w:r>
                            <w:r w:rsidR="00460028" w:rsidRPr="0044047B">
                              <w:rPr>
                                <w:rFonts w:cs="Arial"/>
                                <w:color w:val="000000"/>
                                <w:sz w:val="20"/>
                                <w:szCs w:val="18"/>
                              </w:rPr>
                              <w:t>Internet</w:t>
                            </w:r>
                            <w:r w:rsidR="0044047B">
                              <w:rPr>
                                <w:rFonts w:cs="Arial"/>
                                <w:color w:val="000000"/>
                                <w:sz w:val="20"/>
                                <w:szCs w:val="18"/>
                              </w:rPr>
                              <w:t xml:space="preserve">: </w:t>
                            </w:r>
                            <w:r w:rsidR="00460028" w:rsidRPr="0044047B">
                              <w:rPr>
                                <w:rFonts w:cs="Arial"/>
                                <w:color w:val="000000"/>
                                <w:sz w:val="20"/>
                                <w:szCs w:val="18"/>
                              </w:rPr>
                              <w:t xml:space="preserve"> </w:t>
                            </w:r>
                            <w:hyperlink r:id="rId10" w:history="1">
                              <w:r w:rsidR="00070873" w:rsidRPr="00126198">
                                <w:rPr>
                                  <w:rStyle w:val="Hyperlink"/>
                                  <w:rFonts w:cs="Arial"/>
                                  <w:sz w:val="20"/>
                                  <w:szCs w:val="18"/>
                                </w:rPr>
                                <w:t>www.iala-aism.org</w:t>
                              </w:r>
                            </w:hyperlink>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18" o:spid="_x0000_s1028" type="#_x0000_t202" style="position:absolute;left:0;text-align:left;margin-left:67.35pt;margin-top:585.35pt;width:361.25pt;height:69.6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" filled="f" fillcolor="#0c9" stroked="f">
                <v:textbox>
                  <w:txbxContent>
                    <w:p w14:paraId="40F986C0" w14:textId="77777777" w:rsidR="00460028" w:rsidRPr="0044047B" w:rsidRDefault="00413466" w:rsidP="00460028">
                      <w:pPr>
                        <w:autoSpaceDE w:val="0"/>
                        <w:autoSpaceDN w:val="0"/>
                        <w:adjustRightInd w:val="0"/>
                        <w:jc w:val="center"/>
                        <w:rPr>
                          <w:rFonts w:cs="Arial"/>
                          <w:color w:val="000000"/>
                          <w:sz w:val="20"/>
                          <w:szCs w:val="18"/>
                        </w:rPr>
                      </w:pPr>
                      <w:r>
                        <w:rPr>
                          <w:rFonts w:cs="Arial"/>
                          <w:color w:val="000000"/>
                          <w:sz w:val="20"/>
                          <w:szCs w:val="18"/>
                          <w:lang w:val="fr-FR"/>
                        </w:rPr>
                        <w:t xml:space="preserve">10, rue des </w:t>
                      </w:r>
                      <w:proofErr w:type="spellStart"/>
                      <w:r>
                        <w:rPr>
                          <w:rFonts w:cs="Arial"/>
                          <w:color w:val="000000"/>
                          <w:sz w:val="20"/>
                          <w:szCs w:val="18"/>
                          <w:lang w:val="fr-FR"/>
                        </w:rPr>
                        <w:t>Gaudines</w:t>
                      </w:r>
                      <w:proofErr w:type="spellEnd"/>
                    </w:p>
                    <w:p w14:paraId="3FB35DB3" w14:textId="77777777" w:rsidR="00460028" w:rsidRPr="0044047B" w:rsidRDefault="00F9544D" w:rsidP="00460028">
                      <w:pPr>
                        <w:autoSpaceDE w:val="0"/>
                        <w:autoSpaceDN w:val="0"/>
                        <w:adjustRightInd w:val="0"/>
                        <w:jc w:val="center"/>
                        <w:rPr>
                          <w:rFonts w:cs="Arial"/>
                          <w:color w:val="000000"/>
                          <w:sz w:val="20"/>
                          <w:szCs w:val="18"/>
                        </w:rPr>
                      </w:pPr>
                      <w:r w:rsidRPr="0044047B">
                        <w:rPr>
                          <w:rFonts w:cs="Arial"/>
                          <w:color w:val="000000"/>
                          <w:sz w:val="20"/>
                          <w:szCs w:val="18"/>
                        </w:rPr>
                        <w:t>78100</w:t>
                      </w:r>
                      <w:r>
                        <w:rPr>
                          <w:rFonts w:cs="Arial"/>
                          <w:color w:val="000000"/>
                          <w:sz w:val="20"/>
                          <w:szCs w:val="18"/>
                        </w:rPr>
                        <w:t xml:space="preserve"> </w:t>
                      </w:r>
                      <w:r w:rsidR="00460028" w:rsidRPr="0044047B">
                        <w:rPr>
                          <w:rFonts w:cs="Arial"/>
                          <w:color w:val="000000"/>
                          <w:sz w:val="20"/>
                          <w:szCs w:val="18"/>
                        </w:rPr>
                        <w:t xml:space="preserve">Saint </w:t>
                      </w:r>
                      <w:proofErr w:type="spellStart"/>
                      <w:r w:rsidR="00460028" w:rsidRPr="0044047B">
                        <w:rPr>
                          <w:rFonts w:cs="Arial"/>
                          <w:color w:val="000000"/>
                          <w:sz w:val="20"/>
                          <w:szCs w:val="18"/>
                        </w:rPr>
                        <w:t>Germain</w:t>
                      </w:r>
                      <w:proofErr w:type="spellEnd"/>
                      <w:r w:rsidR="00460028" w:rsidRPr="0044047B">
                        <w:rPr>
                          <w:rFonts w:cs="Arial"/>
                          <w:color w:val="000000"/>
                          <w:sz w:val="20"/>
                          <w:szCs w:val="18"/>
                        </w:rPr>
                        <w:t xml:space="preserve"> en </w:t>
                      </w:r>
                      <w:proofErr w:type="spellStart"/>
                      <w:r w:rsidR="00460028" w:rsidRPr="0044047B">
                        <w:rPr>
                          <w:rFonts w:cs="Arial"/>
                          <w:color w:val="000000"/>
                          <w:sz w:val="20"/>
                          <w:szCs w:val="18"/>
                        </w:rPr>
                        <w:t>Laye</w:t>
                      </w:r>
                      <w:proofErr w:type="spellEnd"/>
                      <w:r w:rsidR="00460028" w:rsidRPr="0044047B">
                        <w:rPr>
                          <w:rFonts w:cs="Arial"/>
                          <w:color w:val="000000"/>
                          <w:sz w:val="20"/>
                          <w:szCs w:val="18"/>
                        </w:rPr>
                        <w:t>, France</w:t>
                      </w:r>
                    </w:p>
                    <w:p w14:paraId="5F1E6FB8" w14:textId="77777777" w:rsidR="00460028" w:rsidRPr="0044047B" w:rsidRDefault="00460028" w:rsidP="00460028">
                      <w:pPr>
                        <w:autoSpaceDE w:val="0"/>
                        <w:autoSpaceDN w:val="0"/>
                        <w:adjustRightInd w:val="0"/>
                        <w:jc w:val="center"/>
                        <w:rPr>
                          <w:rFonts w:cs="Arial"/>
                          <w:color w:val="000000"/>
                          <w:sz w:val="20"/>
                          <w:szCs w:val="18"/>
                        </w:rPr>
                      </w:pPr>
                      <w:r w:rsidRPr="0044047B">
                        <w:rPr>
                          <w:rFonts w:cs="Arial"/>
                          <w:color w:val="000000"/>
                          <w:sz w:val="20"/>
                          <w:szCs w:val="18"/>
                        </w:rPr>
                        <w:t>Telephone</w:t>
                      </w:r>
                      <w:r w:rsidR="0044047B" w:rsidRPr="0044047B">
                        <w:rPr>
                          <w:rFonts w:cs="Arial"/>
                          <w:color w:val="000000"/>
                          <w:sz w:val="20"/>
                          <w:szCs w:val="18"/>
                        </w:rPr>
                        <w:t>:</w:t>
                      </w:r>
                      <w:r w:rsidRPr="0044047B">
                        <w:rPr>
                          <w:rFonts w:cs="Arial"/>
                          <w:color w:val="000000"/>
                          <w:sz w:val="20"/>
                          <w:szCs w:val="18"/>
                        </w:rPr>
                        <w:t xml:space="preserve"> +33 1 34 51 70 0</w:t>
                      </w:r>
                      <w:r w:rsidR="00070873">
                        <w:rPr>
                          <w:rFonts w:cs="Arial"/>
                          <w:color w:val="000000"/>
                          <w:sz w:val="20"/>
                          <w:szCs w:val="18"/>
                        </w:rPr>
                        <w:t>1</w:t>
                      </w:r>
                      <w:r w:rsidRPr="0044047B">
                        <w:rPr>
                          <w:rFonts w:cs="Arial"/>
                          <w:color w:val="000000"/>
                          <w:sz w:val="20"/>
                          <w:szCs w:val="18"/>
                        </w:rPr>
                        <w:t xml:space="preserve"> </w:t>
                      </w:r>
                      <w:r w:rsidR="0044047B" w:rsidRPr="0044047B">
                        <w:rPr>
                          <w:rFonts w:cs="Arial"/>
                          <w:color w:val="000000"/>
                          <w:sz w:val="20"/>
                          <w:szCs w:val="18"/>
                        </w:rPr>
                        <w:t xml:space="preserve"> </w:t>
                      </w:r>
                      <w:r w:rsidR="0044047B">
                        <w:rPr>
                          <w:rFonts w:cs="Arial"/>
                          <w:color w:val="000000"/>
                          <w:sz w:val="20"/>
                          <w:szCs w:val="18"/>
                        </w:rPr>
                        <w:t xml:space="preserve">  </w:t>
                      </w:r>
                      <w:r w:rsidR="0044047B" w:rsidRPr="0044047B">
                        <w:rPr>
                          <w:rFonts w:cs="Arial"/>
                          <w:color w:val="000000"/>
                          <w:sz w:val="20"/>
                          <w:szCs w:val="18"/>
                        </w:rPr>
                        <w:t>Fax:</w:t>
                      </w:r>
                      <w:r w:rsidR="00F9544D">
                        <w:rPr>
                          <w:rFonts w:cs="Arial"/>
                          <w:color w:val="000000"/>
                          <w:sz w:val="20"/>
                          <w:szCs w:val="18"/>
                        </w:rPr>
                        <w:t xml:space="preserve"> +33 1 34 51 82 05</w:t>
                      </w:r>
                    </w:p>
                    <w:p w14:paraId="2DB0E1ED" w14:textId="77777777" w:rsidR="00460028" w:rsidRPr="0044047B" w:rsidRDefault="00985597" w:rsidP="00070873">
                      <w:pPr>
                        <w:autoSpaceDE w:val="0"/>
                        <w:autoSpaceDN w:val="0"/>
                        <w:adjustRightInd w:val="0"/>
                        <w:jc w:val="center"/>
                        <w:rPr>
                          <w:rFonts w:cs="Arial"/>
                          <w:color w:val="000000"/>
                          <w:sz w:val="18"/>
                          <w:szCs w:val="18"/>
                        </w:rPr>
                      </w:pPr>
                      <w:r>
                        <w:rPr>
                          <w:rFonts w:cs="Arial"/>
                          <w:color w:val="000000"/>
                          <w:sz w:val="20"/>
                          <w:szCs w:val="18"/>
                        </w:rPr>
                        <w:t>e</w:t>
                      </w:r>
                      <w:r w:rsidR="0044047B">
                        <w:rPr>
                          <w:rFonts w:cs="Arial"/>
                          <w:color w:val="000000"/>
                          <w:sz w:val="20"/>
                          <w:szCs w:val="18"/>
                        </w:rPr>
                        <w:t xml:space="preserve">-mail: </w:t>
                      </w:r>
                      <w:hyperlink r:id="rId11" w:history="1">
                        <w:r w:rsidR="009B28ED">
                          <w:rPr>
                            <w:rStyle w:val="Hyperlink"/>
                            <w:rFonts w:cs="Arial"/>
                            <w:sz w:val="20"/>
                            <w:szCs w:val="18"/>
                          </w:rPr>
                          <w:t>contact@iala-aism.org</w:t>
                        </w:r>
                      </w:hyperlink>
                      <w:r w:rsidR="00070873">
                        <w:rPr>
                          <w:rFonts w:cs="Arial"/>
                          <w:color w:val="000000"/>
                          <w:sz w:val="20"/>
                          <w:szCs w:val="18"/>
                        </w:rPr>
                        <w:t xml:space="preserve">       </w:t>
                      </w:r>
                      <w:r w:rsidR="00460028" w:rsidRPr="0044047B">
                        <w:rPr>
                          <w:rFonts w:cs="Arial"/>
                          <w:color w:val="000000"/>
                          <w:sz w:val="20"/>
                          <w:szCs w:val="18"/>
                        </w:rPr>
                        <w:t>Internet</w:t>
                      </w:r>
                      <w:r w:rsidR="0044047B">
                        <w:rPr>
                          <w:rFonts w:cs="Arial"/>
                          <w:color w:val="000000"/>
                          <w:sz w:val="20"/>
                          <w:szCs w:val="18"/>
                        </w:rPr>
                        <w:t xml:space="preserve">: </w:t>
                      </w:r>
                      <w:r w:rsidR="00460028" w:rsidRPr="0044047B">
                        <w:rPr>
                          <w:rFonts w:cs="Arial"/>
                          <w:color w:val="000000"/>
                          <w:sz w:val="20"/>
                          <w:szCs w:val="18"/>
                        </w:rPr>
                        <w:t xml:space="preserve"> </w:t>
                      </w:r>
                      <w:hyperlink r:id="rId12" w:history="1">
                        <w:r w:rsidR="00070873" w:rsidRPr="00126198">
                          <w:rPr>
                            <w:rStyle w:val="Hyperlink"/>
                            <w:rFonts w:cs="Arial"/>
                            <w:sz w:val="20"/>
                            <w:szCs w:val="18"/>
                          </w:rPr>
                          <w:t>www.iala-aism.org</w:t>
                        </w:r>
                      </w:hyperlink>
                    </w:p>
                  </w:txbxContent>
                </v:textbox>
              </v:shape>
            </w:pict>
          </mc:Fallback>
        </mc:AlternateContent>
      </w:r>
      <w:r>
        <w:rPr>
          <w:noProof/>
          <w:lang w:val="en-IE" w:eastAsia="en-IE"/>
        </w:rPr>
        <w:drawing>
          <wp:anchor distT="0" distB="0" distL="114300" distR="114300" simplePos="0" relativeHeight="251655680" behindDoc="0" locked="0" layoutInCell="1" allowOverlap="1" wp14:anchorId="37FC2CD1" wp14:editId="60502704">
            <wp:simplePos x="0" y="0"/>
            <wp:positionH relativeFrom="column">
              <wp:posOffset>2514600</wp:posOffset>
            </wp:positionH>
            <wp:positionV relativeFrom="paragraph">
              <wp:posOffset>4611370</wp:posOffset>
            </wp:positionV>
            <wp:extent cx="898525" cy="1236980"/>
            <wp:effectExtent l="0" t="0" r="0" b="1270"/>
            <wp:wrapNone/>
            <wp:docPr id="122" name="Picture 112" descr="Description: IALA logo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 descr="Description: IALA logo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898525" cy="1236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n-IE" w:eastAsia="en-IE"/>
        </w:rPr>
        <mc:AlternateContent>
          <mc:Choice Requires="wps">
            <w:drawing>
              <wp:anchor distT="0" distB="0" distL="114300" distR="114300" simplePos="0" relativeHeight="251654656" behindDoc="0" locked="0" layoutInCell="1" allowOverlap="1" wp14:anchorId="7DF59D2A" wp14:editId="529B56DB">
                <wp:simplePos x="0" y="0"/>
                <wp:positionH relativeFrom="column">
                  <wp:posOffset>1066800</wp:posOffset>
                </wp:positionH>
                <wp:positionV relativeFrom="paragraph">
                  <wp:posOffset>496570</wp:posOffset>
                </wp:positionV>
                <wp:extent cx="3657600" cy="3706495"/>
                <wp:effectExtent l="0" t="0" r="0" b="8255"/>
                <wp:wrapNone/>
                <wp:docPr id="2" name="Text Box 1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57600" cy="3706495"/>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63484E" w14:textId="77777777" w:rsidR="0044047B" w:rsidRDefault="00460028" w:rsidP="00460028">
                            <w:pPr>
                              <w:autoSpaceDE w:val="0"/>
                              <w:autoSpaceDN w:val="0"/>
                              <w:adjustRightInd w:val="0"/>
                              <w:jc w:val="center"/>
                              <w:rPr>
                                <w:rFonts w:cs="Arial"/>
                                <w:b/>
                                <w:bCs/>
                                <w:color w:val="000000"/>
                                <w:sz w:val="36"/>
                                <w:szCs w:val="36"/>
                              </w:rPr>
                            </w:pPr>
                            <w:r>
                              <w:rPr>
                                <w:rFonts w:cs="Arial"/>
                                <w:b/>
                                <w:bCs/>
                                <w:color w:val="000000"/>
                                <w:sz w:val="36"/>
                                <w:szCs w:val="36"/>
                              </w:rPr>
                              <w:t xml:space="preserve">IALA </w:t>
                            </w:r>
                            <w:r w:rsidR="0044047B">
                              <w:rPr>
                                <w:rFonts w:cs="Arial"/>
                                <w:b/>
                                <w:bCs/>
                                <w:color w:val="000000"/>
                                <w:sz w:val="36"/>
                                <w:szCs w:val="36"/>
                              </w:rPr>
                              <w:t>Recommendation</w:t>
                            </w:r>
                          </w:p>
                          <w:p w14:paraId="64D9DED5" w14:textId="4FB0D6C8" w:rsidR="00460028" w:rsidRPr="0044047B" w:rsidRDefault="00274C38" w:rsidP="00460028">
                            <w:pPr>
                              <w:autoSpaceDE w:val="0"/>
                              <w:autoSpaceDN w:val="0"/>
                              <w:adjustRightInd w:val="0"/>
                              <w:jc w:val="center"/>
                              <w:rPr>
                                <w:rFonts w:cs="Arial"/>
                                <w:b/>
                                <w:bCs/>
                                <w:color w:val="000000"/>
                                <w:sz w:val="36"/>
                                <w:szCs w:val="36"/>
                                <w:highlight w:val="yellow"/>
                              </w:rPr>
                            </w:pPr>
                            <w:r w:rsidRPr="00122301">
                              <w:rPr>
                                <w:rFonts w:cs="Arial"/>
                                <w:b/>
                                <w:bCs/>
                                <w:color w:val="000000"/>
                                <w:sz w:val="36"/>
                                <w:szCs w:val="36"/>
                              </w:rPr>
                              <w:t>ENAV</w:t>
                            </w:r>
                            <w:r w:rsidR="0044047B" w:rsidRPr="00122301">
                              <w:rPr>
                                <w:rFonts w:cs="Arial"/>
                                <w:b/>
                                <w:bCs/>
                                <w:color w:val="000000"/>
                                <w:sz w:val="36"/>
                                <w:szCs w:val="36"/>
                              </w:rPr>
                              <w:t>-</w:t>
                            </w:r>
                            <w:r w:rsidR="00122301">
                              <w:rPr>
                                <w:rFonts w:cs="Arial"/>
                                <w:b/>
                                <w:bCs/>
                                <w:color w:val="000000"/>
                                <w:sz w:val="36"/>
                                <w:szCs w:val="36"/>
                                <w:highlight w:val="yellow"/>
                              </w:rPr>
                              <w:t>[</w:t>
                            </w:r>
                            <w:r w:rsidR="0044047B" w:rsidRPr="0044047B">
                              <w:rPr>
                                <w:rFonts w:cs="Arial"/>
                                <w:b/>
                                <w:bCs/>
                                <w:color w:val="000000"/>
                                <w:sz w:val="36"/>
                                <w:szCs w:val="36"/>
                                <w:highlight w:val="yellow"/>
                              </w:rPr>
                              <w:t>###</w:t>
                            </w:r>
                            <w:r>
                              <w:rPr>
                                <w:rFonts w:cs="Arial"/>
                                <w:b/>
                                <w:bCs/>
                                <w:color w:val="000000"/>
                                <w:sz w:val="36"/>
                                <w:szCs w:val="36"/>
                                <w:highlight w:val="yellow"/>
                              </w:rPr>
                              <w:t>]</w:t>
                            </w:r>
                            <w:r w:rsidR="0044047B" w:rsidRPr="00274C38">
                              <w:rPr>
                                <w:rFonts w:cs="Arial"/>
                                <w:b/>
                                <w:bCs/>
                                <w:color w:val="000000"/>
                                <w:sz w:val="36"/>
                                <w:szCs w:val="36"/>
                              </w:rPr>
                              <w:t xml:space="preserve"> - </w:t>
                            </w:r>
                            <w:r w:rsidR="005D08CF" w:rsidRPr="00274C38">
                              <w:rPr>
                                <w:rFonts w:cs="Arial"/>
                                <w:b/>
                                <w:bCs/>
                                <w:color w:val="000000"/>
                                <w:sz w:val="36"/>
                                <w:szCs w:val="36"/>
                              </w:rPr>
                              <w:t xml:space="preserve">Appendix </w:t>
                            </w:r>
                            <w:r w:rsidR="00C36DAD">
                              <w:rPr>
                                <w:rFonts w:cs="Arial"/>
                                <w:b/>
                                <w:bCs/>
                                <w:color w:val="000000"/>
                                <w:sz w:val="36"/>
                                <w:szCs w:val="36"/>
                                <w:highlight w:val="yellow"/>
                              </w:rPr>
                              <w:t>3</w:t>
                            </w:r>
                          </w:p>
                          <w:p w14:paraId="15466D05" w14:textId="77777777" w:rsidR="00460028" w:rsidRPr="0044047B" w:rsidRDefault="00460028" w:rsidP="00460028">
                            <w:pPr>
                              <w:autoSpaceDE w:val="0"/>
                              <w:autoSpaceDN w:val="0"/>
                              <w:adjustRightInd w:val="0"/>
                              <w:jc w:val="center"/>
                              <w:rPr>
                                <w:rFonts w:cs="Arial"/>
                                <w:b/>
                                <w:bCs/>
                                <w:color w:val="000000"/>
                                <w:sz w:val="36"/>
                                <w:szCs w:val="36"/>
                                <w:highlight w:val="yellow"/>
                              </w:rPr>
                            </w:pPr>
                          </w:p>
                          <w:p w14:paraId="12A09890" w14:textId="20615553" w:rsidR="00460028" w:rsidRPr="00C36DAD" w:rsidRDefault="00C36DAD" w:rsidP="00460028">
                            <w:pPr>
                              <w:autoSpaceDE w:val="0"/>
                              <w:autoSpaceDN w:val="0"/>
                              <w:adjustRightInd w:val="0"/>
                              <w:jc w:val="center"/>
                              <w:rPr>
                                <w:rFonts w:cs="Arial"/>
                                <w:b/>
                                <w:bCs/>
                                <w:color w:val="000000"/>
                                <w:sz w:val="36"/>
                                <w:szCs w:val="36"/>
                              </w:rPr>
                            </w:pPr>
                            <w:r>
                              <w:rPr>
                                <w:rFonts w:cs="Arial"/>
                                <w:b/>
                                <w:bCs/>
                                <w:color w:val="000000"/>
                                <w:sz w:val="36"/>
                                <w:szCs w:val="36"/>
                              </w:rPr>
                              <w:t xml:space="preserve">Service </w:t>
                            </w:r>
                            <w:r w:rsidRPr="00C36DAD">
                              <w:rPr>
                                <w:rFonts w:cs="Arial"/>
                                <w:b/>
                                <w:bCs/>
                                <w:color w:val="000000"/>
                                <w:sz w:val="36"/>
                                <w:szCs w:val="36"/>
                              </w:rPr>
                              <w:t>Distribution Model</w:t>
                            </w:r>
                          </w:p>
                          <w:p w14:paraId="36099046" w14:textId="77777777" w:rsidR="00460028" w:rsidRPr="0044047B" w:rsidRDefault="00460028" w:rsidP="00460028">
                            <w:pPr>
                              <w:autoSpaceDE w:val="0"/>
                              <w:autoSpaceDN w:val="0"/>
                              <w:adjustRightInd w:val="0"/>
                              <w:jc w:val="center"/>
                              <w:rPr>
                                <w:rFonts w:cs="Arial"/>
                                <w:b/>
                                <w:bCs/>
                                <w:color w:val="000000"/>
                                <w:sz w:val="36"/>
                                <w:szCs w:val="36"/>
                                <w:highlight w:val="yellow"/>
                              </w:rPr>
                            </w:pPr>
                          </w:p>
                          <w:p w14:paraId="27F09D9B" w14:textId="46BFA234" w:rsidR="00460028" w:rsidRPr="0044047B" w:rsidRDefault="0044047B" w:rsidP="00460028">
                            <w:pPr>
                              <w:autoSpaceDE w:val="0"/>
                              <w:autoSpaceDN w:val="0"/>
                              <w:adjustRightInd w:val="0"/>
                              <w:jc w:val="center"/>
                              <w:rPr>
                                <w:rFonts w:cs="Arial"/>
                                <w:b/>
                                <w:bCs/>
                                <w:color w:val="000000"/>
                                <w:sz w:val="36"/>
                                <w:szCs w:val="36"/>
                                <w:highlight w:val="yellow"/>
                              </w:rPr>
                            </w:pPr>
                            <w:r w:rsidRPr="0044047B">
                              <w:rPr>
                                <w:rFonts w:cs="Arial"/>
                                <w:b/>
                                <w:bCs/>
                                <w:color w:val="000000"/>
                                <w:sz w:val="36"/>
                                <w:szCs w:val="36"/>
                                <w:highlight w:val="yellow"/>
                              </w:rPr>
                              <w:t>[</w:t>
                            </w:r>
                            <w:r w:rsidR="00274C38">
                              <w:rPr>
                                <w:rFonts w:cs="Arial"/>
                                <w:b/>
                                <w:bCs/>
                                <w:color w:val="000000"/>
                                <w:sz w:val="36"/>
                                <w:szCs w:val="36"/>
                                <w:highlight w:val="yellow"/>
                              </w:rPr>
                              <w:t>Working Towards]</w:t>
                            </w:r>
                            <w:r w:rsidR="00274C38" w:rsidRPr="00274C38">
                              <w:rPr>
                                <w:rFonts w:cs="Arial"/>
                                <w:b/>
                                <w:bCs/>
                                <w:color w:val="000000"/>
                                <w:sz w:val="36"/>
                                <w:szCs w:val="36"/>
                              </w:rPr>
                              <w:t xml:space="preserve"> </w:t>
                            </w:r>
                            <w:r w:rsidR="00460028" w:rsidRPr="00274C38">
                              <w:rPr>
                                <w:rFonts w:cs="Arial"/>
                                <w:b/>
                                <w:bCs/>
                                <w:color w:val="000000"/>
                                <w:sz w:val="36"/>
                                <w:szCs w:val="36"/>
                              </w:rPr>
                              <w:t>Edition</w:t>
                            </w:r>
                            <w:r w:rsidR="00274C38" w:rsidRPr="00274C38">
                              <w:rPr>
                                <w:rFonts w:cs="Arial"/>
                                <w:b/>
                                <w:bCs/>
                                <w:color w:val="000000"/>
                                <w:sz w:val="36"/>
                                <w:szCs w:val="36"/>
                              </w:rPr>
                              <w:t xml:space="preserve"> 1</w:t>
                            </w:r>
                          </w:p>
                          <w:p w14:paraId="54DB046C" w14:textId="77777777" w:rsidR="00460028" w:rsidRPr="0044047B" w:rsidRDefault="00460028" w:rsidP="00460028">
                            <w:pPr>
                              <w:autoSpaceDE w:val="0"/>
                              <w:autoSpaceDN w:val="0"/>
                              <w:adjustRightInd w:val="0"/>
                              <w:jc w:val="center"/>
                              <w:rPr>
                                <w:rFonts w:cs="Arial"/>
                                <w:b/>
                                <w:bCs/>
                                <w:color w:val="000000"/>
                                <w:sz w:val="36"/>
                                <w:szCs w:val="36"/>
                                <w:highlight w:val="yellow"/>
                              </w:rPr>
                            </w:pPr>
                          </w:p>
                          <w:p w14:paraId="71457727" w14:textId="68698E16" w:rsidR="00460028" w:rsidRPr="0044047B" w:rsidRDefault="0044047B" w:rsidP="00460028">
                            <w:pPr>
                              <w:autoSpaceDE w:val="0"/>
                              <w:autoSpaceDN w:val="0"/>
                              <w:adjustRightInd w:val="0"/>
                              <w:jc w:val="center"/>
                              <w:rPr>
                                <w:rFonts w:cs="Arial"/>
                                <w:b/>
                                <w:bCs/>
                                <w:color w:val="000000"/>
                                <w:sz w:val="36"/>
                                <w:szCs w:val="36"/>
                                <w:highlight w:val="yellow"/>
                              </w:rPr>
                            </w:pPr>
                            <w:r w:rsidRPr="0044047B">
                              <w:rPr>
                                <w:rFonts w:cs="Arial"/>
                                <w:b/>
                                <w:bCs/>
                                <w:color w:val="000000"/>
                                <w:sz w:val="36"/>
                                <w:szCs w:val="36"/>
                                <w:highlight w:val="yellow"/>
                              </w:rPr>
                              <w:t>[</w:t>
                            </w:r>
                            <w:r w:rsidR="00274C38">
                              <w:rPr>
                                <w:rFonts w:cs="Arial"/>
                                <w:b/>
                                <w:bCs/>
                                <w:color w:val="000000"/>
                                <w:sz w:val="36"/>
                                <w:szCs w:val="36"/>
                                <w:highlight w:val="yellow"/>
                              </w:rPr>
                              <w:t>2015</w:t>
                            </w:r>
                            <w:r w:rsidRPr="0044047B">
                              <w:rPr>
                                <w:rFonts w:cs="Arial"/>
                                <w:b/>
                                <w:bCs/>
                                <w:color w:val="000000"/>
                                <w:sz w:val="36"/>
                                <w:szCs w:val="36"/>
                                <w:highlight w:val="yellow"/>
                              </w:rPr>
                              <w:t>]</w:t>
                            </w:r>
                          </w:p>
                          <w:p w14:paraId="10F8FDCB" w14:textId="52466B0B" w:rsidR="00460028" w:rsidRDefault="00274C38" w:rsidP="00460028">
                            <w:pPr>
                              <w:autoSpaceDE w:val="0"/>
                              <w:autoSpaceDN w:val="0"/>
                              <w:adjustRightInd w:val="0"/>
                              <w:jc w:val="center"/>
                              <w:rPr>
                                <w:rFonts w:cs="Arial"/>
                                <w:b/>
                                <w:bCs/>
                                <w:color w:val="000000"/>
                              </w:rPr>
                            </w:pPr>
                            <w:r w:rsidRPr="00274C38">
                              <w:rPr>
                                <w:rFonts w:cs="Arial"/>
                                <w:b/>
                                <w:bCs/>
                                <w:color w:val="000000"/>
                              </w:rPr>
                              <w:t>Initial Version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11" o:spid="_x0000_s1029" type="#_x0000_t202" style="position:absolute;left:0;text-align:left;margin-left:84pt;margin-top:39.1pt;width:4in;height:291.85pt;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" filled="f" fillcolor="#0c9" stroked="f">
                <v:textbox>
                  <w:txbxContent>
                    <w:p w14:paraId="7D63484E" w14:textId="77777777" w:rsidR="0044047B" w:rsidRDefault="00460028" w:rsidP="00460028">
                      <w:pPr>
                        <w:autoSpaceDE w:val="0"/>
                        <w:autoSpaceDN w:val="0"/>
                        <w:adjustRightInd w:val="0"/>
                        <w:jc w:val="center"/>
                        <w:rPr>
                          <w:rFonts w:cs="Arial"/>
                          <w:b/>
                          <w:bCs/>
                          <w:color w:val="000000"/>
                          <w:sz w:val="36"/>
                          <w:szCs w:val="36"/>
                        </w:rPr>
                      </w:pPr>
                      <w:r>
                        <w:rPr>
                          <w:rFonts w:cs="Arial"/>
                          <w:b/>
                          <w:bCs/>
                          <w:color w:val="000000"/>
                          <w:sz w:val="36"/>
                          <w:szCs w:val="36"/>
                        </w:rPr>
                        <w:t xml:space="preserve">IALA </w:t>
                      </w:r>
                      <w:r w:rsidR="0044047B">
                        <w:rPr>
                          <w:rFonts w:cs="Arial"/>
                          <w:b/>
                          <w:bCs/>
                          <w:color w:val="000000"/>
                          <w:sz w:val="36"/>
                          <w:szCs w:val="36"/>
                        </w:rPr>
                        <w:t>Recommendation</w:t>
                      </w:r>
                    </w:p>
                    <w:p w14:paraId="64D9DED5" w14:textId="4FB0D6C8" w:rsidR="00460028" w:rsidRPr="0044047B" w:rsidRDefault="00274C38" w:rsidP="00460028">
                      <w:pPr>
                        <w:autoSpaceDE w:val="0"/>
                        <w:autoSpaceDN w:val="0"/>
                        <w:adjustRightInd w:val="0"/>
                        <w:jc w:val="center"/>
                        <w:rPr>
                          <w:rFonts w:cs="Arial"/>
                          <w:b/>
                          <w:bCs/>
                          <w:color w:val="000000"/>
                          <w:sz w:val="36"/>
                          <w:szCs w:val="36"/>
                          <w:highlight w:val="yellow"/>
                        </w:rPr>
                      </w:pPr>
                      <w:r w:rsidRPr="00122301">
                        <w:rPr>
                          <w:rFonts w:cs="Arial"/>
                          <w:b/>
                          <w:bCs/>
                          <w:color w:val="000000"/>
                          <w:sz w:val="36"/>
                          <w:szCs w:val="36"/>
                        </w:rPr>
                        <w:t>ENAV</w:t>
                      </w:r>
                      <w:r w:rsidR="0044047B" w:rsidRPr="00122301">
                        <w:rPr>
                          <w:rFonts w:cs="Arial"/>
                          <w:b/>
                          <w:bCs/>
                          <w:color w:val="000000"/>
                          <w:sz w:val="36"/>
                          <w:szCs w:val="36"/>
                        </w:rPr>
                        <w:t>-</w:t>
                      </w:r>
                      <w:r w:rsidR="00122301">
                        <w:rPr>
                          <w:rFonts w:cs="Arial"/>
                          <w:b/>
                          <w:bCs/>
                          <w:color w:val="000000"/>
                          <w:sz w:val="36"/>
                          <w:szCs w:val="36"/>
                          <w:highlight w:val="yellow"/>
                        </w:rPr>
                        <w:t>[</w:t>
                      </w:r>
                      <w:r w:rsidR="0044047B" w:rsidRPr="0044047B">
                        <w:rPr>
                          <w:rFonts w:cs="Arial"/>
                          <w:b/>
                          <w:bCs/>
                          <w:color w:val="000000"/>
                          <w:sz w:val="36"/>
                          <w:szCs w:val="36"/>
                          <w:highlight w:val="yellow"/>
                        </w:rPr>
                        <w:t>###</w:t>
                      </w:r>
                      <w:r>
                        <w:rPr>
                          <w:rFonts w:cs="Arial"/>
                          <w:b/>
                          <w:bCs/>
                          <w:color w:val="000000"/>
                          <w:sz w:val="36"/>
                          <w:szCs w:val="36"/>
                          <w:highlight w:val="yellow"/>
                        </w:rPr>
                        <w:t>]</w:t>
                      </w:r>
                      <w:r w:rsidR="0044047B" w:rsidRPr="00274C38">
                        <w:rPr>
                          <w:rFonts w:cs="Arial"/>
                          <w:b/>
                          <w:bCs/>
                          <w:color w:val="000000"/>
                          <w:sz w:val="36"/>
                          <w:szCs w:val="36"/>
                        </w:rPr>
                        <w:t xml:space="preserve"> - </w:t>
                      </w:r>
                      <w:r w:rsidR="005D08CF" w:rsidRPr="00274C38">
                        <w:rPr>
                          <w:rFonts w:cs="Arial"/>
                          <w:b/>
                          <w:bCs/>
                          <w:color w:val="000000"/>
                          <w:sz w:val="36"/>
                          <w:szCs w:val="36"/>
                        </w:rPr>
                        <w:t xml:space="preserve">Appendix </w:t>
                      </w:r>
                      <w:r w:rsidR="00C36DAD">
                        <w:rPr>
                          <w:rFonts w:cs="Arial"/>
                          <w:b/>
                          <w:bCs/>
                          <w:color w:val="000000"/>
                          <w:sz w:val="36"/>
                          <w:szCs w:val="36"/>
                          <w:highlight w:val="yellow"/>
                        </w:rPr>
                        <w:t>3</w:t>
                      </w:r>
                    </w:p>
                    <w:p w14:paraId="15466D05" w14:textId="77777777" w:rsidR="00460028" w:rsidRPr="0044047B" w:rsidRDefault="00460028" w:rsidP="00460028">
                      <w:pPr>
                        <w:autoSpaceDE w:val="0"/>
                        <w:autoSpaceDN w:val="0"/>
                        <w:adjustRightInd w:val="0"/>
                        <w:jc w:val="center"/>
                        <w:rPr>
                          <w:rFonts w:cs="Arial"/>
                          <w:b/>
                          <w:bCs/>
                          <w:color w:val="000000"/>
                          <w:sz w:val="36"/>
                          <w:szCs w:val="36"/>
                          <w:highlight w:val="yellow"/>
                        </w:rPr>
                      </w:pPr>
                    </w:p>
                    <w:p w14:paraId="12A09890" w14:textId="20615553" w:rsidR="00460028" w:rsidRPr="00C36DAD" w:rsidRDefault="00C36DAD" w:rsidP="00460028">
                      <w:pPr>
                        <w:autoSpaceDE w:val="0"/>
                        <w:autoSpaceDN w:val="0"/>
                        <w:adjustRightInd w:val="0"/>
                        <w:jc w:val="center"/>
                        <w:rPr>
                          <w:rFonts w:cs="Arial"/>
                          <w:b/>
                          <w:bCs/>
                          <w:color w:val="000000"/>
                          <w:sz w:val="36"/>
                          <w:szCs w:val="36"/>
                        </w:rPr>
                      </w:pPr>
                      <w:r>
                        <w:rPr>
                          <w:rFonts w:cs="Arial"/>
                          <w:b/>
                          <w:bCs/>
                          <w:color w:val="000000"/>
                          <w:sz w:val="36"/>
                          <w:szCs w:val="36"/>
                        </w:rPr>
                        <w:t xml:space="preserve">Service </w:t>
                      </w:r>
                      <w:r w:rsidRPr="00C36DAD">
                        <w:rPr>
                          <w:rFonts w:cs="Arial"/>
                          <w:b/>
                          <w:bCs/>
                          <w:color w:val="000000"/>
                          <w:sz w:val="36"/>
                          <w:szCs w:val="36"/>
                        </w:rPr>
                        <w:t>Distribution Model</w:t>
                      </w:r>
                    </w:p>
                    <w:p w14:paraId="36099046" w14:textId="77777777" w:rsidR="00460028" w:rsidRPr="0044047B" w:rsidRDefault="00460028" w:rsidP="00460028">
                      <w:pPr>
                        <w:autoSpaceDE w:val="0"/>
                        <w:autoSpaceDN w:val="0"/>
                        <w:adjustRightInd w:val="0"/>
                        <w:jc w:val="center"/>
                        <w:rPr>
                          <w:rFonts w:cs="Arial"/>
                          <w:b/>
                          <w:bCs/>
                          <w:color w:val="000000"/>
                          <w:sz w:val="36"/>
                          <w:szCs w:val="36"/>
                          <w:highlight w:val="yellow"/>
                        </w:rPr>
                      </w:pPr>
                    </w:p>
                    <w:p w14:paraId="27F09D9B" w14:textId="46BFA234" w:rsidR="00460028" w:rsidRPr="0044047B" w:rsidRDefault="0044047B" w:rsidP="00460028">
                      <w:pPr>
                        <w:autoSpaceDE w:val="0"/>
                        <w:autoSpaceDN w:val="0"/>
                        <w:adjustRightInd w:val="0"/>
                        <w:jc w:val="center"/>
                        <w:rPr>
                          <w:rFonts w:cs="Arial"/>
                          <w:b/>
                          <w:bCs/>
                          <w:color w:val="000000"/>
                          <w:sz w:val="36"/>
                          <w:szCs w:val="36"/>
                          <w:highlight w:val="yellow"/>
                        </w:rPr>
                      </w:pPr>
                      <w:r w:rsidRPr="0044047B">
                        <w:rPr>
                          <w:rFonts w:cs="Arial"/>
                          <w:b/>
                          <w:bCs/>
                          <w:color w:val="000000"/>
                          <w:sz w:val="36"/>
                          <w:szCs w:val="36"/>
                          <w:highlight w:val="yellow"/>
                        </w:rPr>
                        <w:t>[</w:t>
                      </w:r>
                      <w:r w:rsidR="00274C38">
                        <w:rPr>
                          <w:rFonts w:cs="Arial"/>
                          <w:b/>
                          <w:bCs/>
                          <w:color w:val="000000"/>
                          <w:sz w:val="36"/>
                          <w:szCs w:val="36"/>
                          <w:highlight w:val="yellow"/>
                        </w:rPr>
                        <w:t>Working Towards]</w:t>
                      </w:r>
                      <w:r w:rsidR="00274C38" w:rsidRPr="00274C38">
                        <w:rPr>
                          <w:rFonts w:cs="Arial"/>
                          <w:b/>
                          <w:bCs/>
                          <w:color w:val="000000"/>
                          <w:sz w:val="36"/>
                          <w:szCs w:val="36"/>
                        </w:rPr>
                        <w:t xml:space="preserve"> </w:t>
                      </w:r>
                      <w:r w:rsidR="00460028" w:rsidRPr="00274C38">
                        <w:rPr>
                          <w:rFonts w:cs="Arial"/>
                          <w:b/>
                          <w:bCs/>
                          <w:color w:val="000000"/>
                          <w:sz w:val="36"/>
                          <w:szCs w:val="36"/>
                        </w:rPr>
                        <w:t>Edition</w:t>
                      </w:r>
                      <w:r w:rsidR="00274C38" w:rsidRPr="00274C38">
                        <w:rPr>
                          <w:rFonts w:cs="Arial"/>
                          <w:b/>
                          <w:bCs/>
                          <w:color w:val="000000"/>
                          <w:sz w:val="36"/>
                          <w:szCs w:val="36"/>
                        </w:rPr>
                        <w:t xml:space="preserve"> 1</w:t>
                      </w:r>
                    </w:p>
                    <w:p w14:paraId="54DB046C" w14:textId="77777777" w:rsidR="00460028" w:rsidRPr="0044047B" w:rsidRDefault="00460028" w:rsidP="00460028">
                      <w:pPr>
                        <w:autoSpaceDE w:val="0"/>
                        <w:autoSpaceDN w:val="0"/>
                        <w:adjustRightInd w:val="0"/>
                        <w:jc w:val="center"/>
                        <w:rPr>
                          <w:rFonts w:cs="Arial"/>
                          <w:b/>
                          <w:bCs/>
                          <w:color w:val="000000"/>
                          <w:sz w:val="36"/>
                          <w:szCs w:val="36"/>
                          <w:highlight w:val="yellow"/>
                        </w:rPr>
                      </w:pPr>
                    </w:p>
                    <w:p w14:paraId="71457727" w14:textId="68698E16" w:rsidR="00460028" w:rsidRPr="0044047B" w:rsidRDefault="0044047B" w:rsidP="00460028">
                      <w:pPr>
                        <w:autoSpaceDE w:val="0"/>
                        <w:autoSpaceDN w:val="0"/>
                        <w:adjustRightInd w:val="0"/>
                        <w:jc w:val="center"/>
                        <w:rPr>
                          <w:rFonts w:cs="Arial"/>
                          <w:b/>
                          <w:bCs/>
                          <w:color w:val="000000"/>
                          <w:sz w:val="36"/>
                          <w:szCs w:val="36"/>
                          <w:highlight w:val="yellow"/>
                        </w:rPr>
                      </w:pPr>
                      <w:r w:rsidRPr="0044047B">
                        <w:rPr>
                          <w:rFonts w:cs="Arial"/>
                          <w:b/>
                          <w:bCs/>
                          <w:color w:val="000000"/>
                          <w:sz w:val="36"/>
                          <w:szCs w:val="36"/>
                          <w:highlight w:val="yellow"/>
                        </w:rPr>
                        <w:t>[</w:t>
                      </w:r>
                      <w:r w:rsidR="00274C38">
                        <w:rPr>
                          <w:rFonts w:cs="Arial"/>
                          <w:b/>
                          <w:bCs/>
                          <w:color w:val="000000"/>
                          <w:sz w:val="36"/>
                          <w:szCs w:val="36"/>
                          <w:highlight w:val="yellow"/>
                        </w:rPr>
                        <w:t>2015</w:t>
                      </w:r>
                      <w:r w:rsidRPr="0044047B">
                        <w:rPr>
                          <w:rFonts w:cs="Arial"/>
                          <w:b/>
                          <w:bCs/>
                          <w:color w:val="000000"/>
                          <w:sz w:val="36"/>
                          <w:szCs w:val="36"/>
                          <w:highlight w:val="yellow"/>
                        </w:rPr>
                        <w:t>]</w:t>
                      </w:r>
                    </w:p>
                    <w:p w14:paraId="10F8FDCB" w14:textId="52466B0B" w:rsidR="00460028" w:rsidRDefault="00274C38" w:rsidP="00460028">
                      <w:pPr>
                        <w:autoSpaceDE w:val="0"/>
                        <w:autoSpaceDN w:val="0"/>
                        <w:adjustRightInd w:val="0"/>
                        <w:jc w:val="center"/>
                        <w:rPr>
                          <w:rFonts w:cs="Arial"/>
                          <w:b/>
                          <w:bCs/>
                          <w:color w:val="000000"/>
                        </w:rPr>
                      </w:pPr>
                      <w:r w:rsidRPr="00274C38">
                        <w:rPr>
                          <w:rFonts w:cs="Arial"/>
                          <w:b/>
                          <w:bCs/>
                          <w:color w:val="000000"/>
                        </w:rPr>
                        <w:t>Initial Version</w:t>
                      </w:r>
                    </w:p>
                  </w:txbxContent>
                </v:textbox>
              </v:shape>
            </w:pict>
          </mc:Fallback>
        </mc:AlternateContent>
      </w:r>
      <w:r w:rsidR="00460028" w:rsidRPr="00460028">
        <w:br w:type="page"/>
      </w:r>
      <w:r w:rsidR="00AC0741">
        <w:lastRenderedPageBreak/>
        <w:t>Appendix</w:t>
      </w:r>
      <w:r w:rsidR="00857962" w:rsidRPr="00460028">
        <w:t xml:space="preserve"> Revisions</w:t>
      </w:r>
      <w:r w:rsidR="00E22226">
        <w:t xml:space="preserve"> </w:t>
      </w:r>
    </w:p>
    <w:p w14:paraId="45303E3F" w14:textId="3F6EF995" w:rsidR="00857962" w:rsidRPr="00460028" w:rsidRDefault="00AC0741" w:rsidP="00857962">
      <w:pPr>
        <w:pStyle w:val="BodyText"/>
      </w:pPr>
      <w:r>
        <w:t>Revisions to this</w:t>
      </w:r>
      <w:r w:rsidR="00857962" w:rsidRPr="00460028">
        <w:t xml:space="preserve"> </w:t>
      </w:r>
      <w:r>
        <w:t>Appendix</w:t>
      </w:r>
      <w:r w:rsidR="00857962" w:rsidRPr="00460028">
        <w:t xml:space="preserve"> are to be noted in the table prior to t</w:t>
      </w:r>
      <w:r w:rsidR="00DF6EB4">
        <w:t>he issue of a revised document.</w:t>
      </w:r>
    </w:p>
    <w:tbl>
      <w:tblPr>
        <w:tblW w:w="94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08"/>
        <w:gridCol w:w="3360"/>
        <w:gridCol w:w="4161"/>
      </w:tblGrid>
      <w:tr w:rsidR="00857962" w:rsidRPr="00460028" w14:paraId="36A836E3" w14:textId="77777777">
        <w:tc>
          <w:tcPr>
            <w:tcW w:w="1908" w:type="dxa"/>
          </w:tcPr>
          <w:p w14:paraId="66D0D37F" w14:textId="77777777" w:rsidR="00857962" w:rsidRPr="00460028" w:rsidRDefault="00857962" w:rsidP="00AF615B">
            <w:pPr>
              <w:pStyle w:val="BodyText"/>
              <w:spacing w:before="120"/>
              <w:jc w:val="center"/>
              <w:rPr>
                <w:rFonts w:cs="Arial"/>
                <w:b/>
                <w:bCs/>
              </w:rPr>
            </w:pPr>
            <w:r w:rsidRPr="00460028">
              <w:rPr>
                <w:rFonts w:cs="Arial"/>
                <w:b/>
                <w:bCs/>
              </w:rPr>
              <w:t>Date</w:t>
            </w:r>
          </w:p>
        </w:tc>
        <w:tc>
          <w:tcPr>
            <w:tcW w:w="3360" w:type="dxa"/>
          </w:tcPr>
          <w:p w14:paraId="744E9C74" w14:textId="77777777" w:rsidR="00857962" w:rsidRPr="00460028" w:rsidRDefault="00857962" w:rsidP="00AF615B">
            <w:pPr>
              <w:pStyle w:val="BodyText"/>
              <w:spacing w:before="120"/>
              <w:jc w:val="center"/>
              <w:rPr>
                <w:rFonts w:cs="Arial"/>
                <w:b/>
                <w:bCs/>
              </w:rPr>
            </w:pPr>
            <w:r w:rsidRPr="00460028">
              <w:rPr>
                <w:rFonts w:cs="Arial"/>
                <w:b/>
                <w:bCs/>
              </w:rPr>
              <w:t>Page / Section Revised</w:t>
            </w:r>
          </w:p>
        </w:tc>
        <w:tc>
          <w:tcPr>
            <w:tcW w:w="4161" w:type="dxa"/>
          </w:tcPr>
          <w:p w14:paraId="06D50EDF" w14:textId="77777777" w:rsidR="00857962" w:rsidRPr="00460028" w:rsidRDefault="00857962" w:rsidP="00AF615B">
            <w:pPr>
              <w:pStyle w:val="BodyText"/>
              <w:spacing w:before="120"/>
              <w:jc w:val="center"/>
              <w:rPr>
                <w:rFonts w:cs="Arial"/>
                <w:b/>
                <w:bCs/>
              </w:rPr>
            </w:pPr>
            <w:r w:rsidRPr="00460028">
              <w:rPr>
                <w:rFonts w:cs="Arial"/>
                <w:b/>
                <w:bCs/>
              </w:rPr>
              <w:t>Requirement for Revision</w:t>
            </w:r>
          </w:p>
        </w:tc>
      </w:tr>
      <w:tr w:rsidR="00857962" w:rsidRPr="00460028" w14:paraId="47033F6D" w14:textId="77777777" w:rsidTr="00985597">
        <w:trPr>
          <w:trHeight w:val="851"/>
        </w:trPr>
        <w:tc>
          <w:tcPr>
            <w:tcW w:w="1908" w:type="dxa"/>
            <w:vAlign w:val="center"/>
          </w:tcPr>
          <w:p w14:paraId="6E4E6CF1" w14:textId="77777777" w:rsidR="00857962" w:rsidRPr="00460028" w:rsidRDefault="00857962" w:rsidP="00AF615B">
            <w:pPr>
              <w:pStyle w:val="BodyText"/>
              <w:rPr>
                <w:highlight w:val="yellow"/>
              </w:rPr>
            </w:pPr>
          </w:p>
        </w:tc>
        <w:tc>
          <w:tcPr>
            <w:tcW w:w="3360" w:type="dxa"/>
            <w:vAlign w:val="center"/>
          </w:tcPr>
          <w:p w14:paraId="51B64885" w14:textId="77777777" w:rsidR="00857962" w:rsidRPr="00460028" w:rsidRDefault="00857962" w:rsidP="00AF615B">
            <w:pPr>
              <w:pStyle w:val="BodyText"/>
              <w:rPr>
                <w:highlight w:val="yellow"/>
              </w:rPr>
            </w:pPr>
          </w:p>
        </w:tc>
        <w:tc>
          <w:tcPr>
            <w:tcW w:w="4161" w:type="dxa"/>
            <w:vAlign w:val="center"/>
          </w:tcPr>
          <w:p w14:paraId="5908F09B" w14:textId="77777777" w:rsidR="00857962" w:rsidRPr="00460028" w:rsidRDefault="00857962" w:rsidP="00AF615B">
            <w:pPr>
              <w:pStyle w:val="BodyText"/>
            </w:pPr>
          </w:p>
        </w:tc>
      </w:tr>
      <w:tr w:rsidR="00857962" w:rsidRPr="00460028" w14:paraId="70953B8C" w14:textId="77777777" w:rsidTr="00985597">
        <w:trPr>
          <w:trHeight w:val="851"/>
        </w:trPr>
        <w:tc>
          <w:tcPr>
            <w:tcW w:w="1908" w:type="dxa"/>
            <w:vAlign w:val="center"/>
          </w:tcPr>
          <w:p w14:paraId="62A51F9F" w14:textId="77777777" w:rsidR="00857962" w:rsidRPr="00460028" w:rsidRDefault="00857962" w:rsidP="00AF615B">
            <w:pPr>
              <w:pStyle w:val="BodyText"/>
            </w:pPr>
          </w:p>
        </w:tc>
        <w:tc>
          <w:tcPr>
            <w:tcW w:w="3360" w:type="dxa"/>
            <w:vAlign w:val="center"/>
          </w:tcPr>
          <w:p w14:paraId="73BB0D98" w14:textId="77777777" w:rsidR="00857962" w:rsidRPr="00460028" w:rsidRDefault="00857962" w:rsidP="00AF615B">
            <w:pPr>
              <w:pStyle w:val="BodyText"/>
            </w:pPr>
          </w:p>
        </w:tc>
        <w:tc>
          <w:tcPr>
            <w:tcW w:w="4161" w:type="dxa"/>
            <w:vAlign w:val="center"/>
          </w:tcPr>
          <w:p w14:paraId="6A058391" w14:textId="77777777" w:rsidR="00857962" w:rsidRPr="00460028" w:rsidRDefault="00857962" w:rsidP="00AF615B">
            <w:pPr>
              <w:pStyle w:val="BodyText"/>
            </w:pPr>
          </w:p>
        </w:tc>
      </w:tr>
      <w:tr w:rsidR="00857962" w:rsidRPr="00460028" w14:paraId="2B92FA6E" w14:textId="77777777" w:rsidTr="00985597">
        <w:trPr>
          <w:trHeight w:val="851"/>
        </w:trPr>
        <w:tc>
          <w:tcPr>
            <w:tcW w:w="1908" w:type="dxa"/>
            <w:vAlign w:val="center"/>
          </w:tcPr>
          <w:p w14:paraId="281A5CF3" w14:textId="77777777" w:rsidR="00857962" w:rsidRPr="00460028" w:rsidRDefault="00857962" w:rsidP="00AF615B">
            <w:pPr>
              <w:pStyle w:val="BodyText"/>
            </w:pPr>
          </w:p>
        </w:tc>
        <w:tc>
          <w:tcPr>
            <w:tcW w:w="3360" w:type="dxa"/>
            <w:vAlign w:val="center"/>
          </w:tcPr>
          <w:p w14:paraId="166CB01F" w14:textId="77777777" w:rsidR="00857962" w:rsidRPr="00460028" w:rsidRDefault="00857962" w:rsidP="00AF615B">
            <w:pPr>
              <w:pStyle w:val="BodyText"/>
            </w:pPr>
          </w:p>
        </w:tc>
        <w:tc>
          <w:tcPr>
            <w:tcW w:w="4161" w:type="dxa"/>
            <w:vAlign w:val="center"/>
          </w:tcPr>
          <w:p w14:paraId="62AD4092" w14:textId="77777777" w:rsidR="00857962" w:rsidRPr="00460028" w:rsidRDefault="00857962" w:rsidP="00AF615B">
            <w:pPr>
              <w:pStyle w:val="BodyText"/>
            </w:pPr>
          </w:p>
        </w:tc>
      </w:tr>
      <w:tr w:rsidR="00857962" w:rsidRPr="00460028" w14:paraId="131E9B2E" w14:textId="77777777" w:rsidTr="00985597">
        <w:trPr>
          <w:trHeight w:val="851"/>
        </w:trPr>
        <w:tc>
          <w:tcPr>
            <w:tcW w:w="1908" w:type="dxa"/>
            <w:vAlign w:val="center"/>
          </w:tcPr>
          <w:p w14:paraId="409E1C30" w14:textId="77777777" w:rsidR="00857962" w:rsidRPr="00460028" w:rsidRDefault="00857962" w:rsidP="00AF615B">
            <w:pPr>
              <w:pStyle w:val="BodyText"/>
            </w:pPr>
          </w:p>
        </w:tc>
        <w:tc>
          <w:tcPr>
            <w:tcW w:w="3360" w:type="dxa"/>
            <w:vAlign w:val="center"/>
          </w:tcPr>
          <w:p w14:paraId="0CAC2932" w14:textId="77777777" w:rsidR="00857962" w:rsidRPr="00460028" w:rsidRDefault="00857962" w:rsidP="00AF615B">
            <w:pPr>
              <w:pStyle w:val="BodyText"/>
            </w:pPr>
          </w:p>
        </w:tc>
        <w:tc>
          <w:tcPr>
            <w:tcW w:w="4161" w:type="dxa"/>
            <w:vAlign w:val="center"/>
          </w:tcPr>
          <w:p w14:paraId="43B508C7" w14:textId="77777777" w:rsidR="00857962" w:rsidRPr="00460028" w:rsidRDefault="00857962" w:rsidP="00AF615B">
            <w:pPr>
              <w:pStyle w:val="BodyText"/>
            </w:pPr>
          </w:p>
        </w:tc>
      </w:tr>
      <w:tr w:rsidR="00857962" w:rsidRPr="00460028" w14:paraId="3E340124" w14:textId="77777777" w:rsidTr="00985597">
        <w:trPr>
          <w:trHeight w:val="851"/>
        </w:trPr>
        <w:tc>
          <w:tcPr>
            <w:tcW w:w="1908" w:type="dxa"/>
            <w:vAlign w:val="center"/>
          </w:tcPr>
          <w:p w14:paraId="1833E1DF" w14:textId="77777777" w:rsidR="00857962" w:rsidRPr="00460028" w:rsidRDefault="00857962" w:rsidP="00AF615B">
            <w:pPr>
              <w:pStyle w:val="BodyText"/>
            </w:pPr>
          </w:p>
        </w:tc>
        <w:tc>
          <w:tcPr>
            <w:tcW w:w="3360" w:type="dxa"/>
            <w:vAlign w:val="center"/>
          </w:tcPr>
          <w:p w14:paraId="196CD74B" w14:textId="77777777" w:rsidR="00857962" w:rsidRPr="00460028" w:rsidRDefault="00857962" w:rsidP="00AF615B">
            <w:pPr>
              <w:pStyle w:val="BodyText"/>
            </w:pPr>
          </w:p>
        </w:tc>
        <w:tc>
          <w:tcPr>
            <w:tcW w:w="4161" w:type="dxa"/>
            <w:vAlign w:val="center"/>
          </w:tcPr>
          <w:p w14:paraId="7F8C2352" w14:textId="77777777" w:rsidR="00857962" w:rsidRPr="00460028" w:rsidRDefault="00857962" w:rsidP="00AF615B">
            <w:pPr>
              <w:pStyle w:val="BodyText"/>
            </w:pPr>
          </w:p>
        </w:tc>
      </w:tr>
      <w:tr w:rsidR="00857962" w:rsidRPr="00460028" w14:paraId="547D4F01" w14:textId="77777777" w:rsidTr="00985597">
        <w:trPr>
          <w:trHeight w:val="851"/>
        </w:trPr>
        <w:tc>
          <w:tcPr>
            <w:tcW w:w="1908" w:type="dxa"/>
            <w:vAlign w:val="center"/>
          </w:tcPr>
          <w:p w14:paraId="6C1CA1C2" w14:textId="77777777" w:rsidR="00857962" w:rsidRPr="00460028" w:rsidRDefault="00857962" w:rsidP="00AF615B">
            <w:pPr>
              <w:pStyle w:val="BodyText"/>
            </w:pPr>
          </w:p>
        </w:tc>
        <w:tc>
          <w:tcPr>
            <w:tcW w:w="3360" w:type="dxa"/>
            <w:vAlign w:val="center"/>
          </w:tcPr>
          <w:p w14:paraId="21768DF5" w14:textId="77777777" w:rsidR="00857962" w:rsidRPr="00460028" w:rsidRDefault="00857962" w:rsidP="00AF615B">
            <w:pPr>
              <w:pStyle w:val="BodyText"/>
            </w:pPr>
          </w:p>
        </w:tc>
        <w:tc>
          <w:tcPr>
            <w:tcW w:w="4161" w:type="dxa"/>
            <w:vAlign w:val="center"/>
          </w:tcPr>
          <w:p w14:paraId="5C30BADB" w14:textId="77777777" w:rsidR="00857962" w:rsidRPr="00460028" w:rsidRDefault="00857962" w:rsidP="00AF615B">
            <w:pPr>
              <w:pStyle w:val="BodyText"/>
            </w:pPr>
          </w:p>
        </w:tc>
      </w:tr>
    </w:tbl>
    <w:p w14:paraId="4CD45056" w14:textId="2009E308" w:rsidR="005D08CF" w:rsidRDefault="00857962" w:rsidP="00DF6EB4">
      <w:pPr>
        <w:pStyle w:val="BlockText"/>
      </w:pPr>
      <w:r w:rsidRPr="00460028">
        <w:br w:type="page"/>
      </w:r>
      <w:r w:rsidR="00DF6EB4" w:rsidRPr="00DF6EB4">
        <w:lastRenderedPageBreak/>
        <w:t xml:space="preserve">IALA </w:t>
      </w:r>
      <w:r w:rsidR="009E1230" w:rsidRPr="00DF6EB4">
        <w:t xml:space="preserve">Recommendation </w:t>
      </w:r>
      <w:r w:rsidR="00274C38" w:rsidRPr="00274C38">
        <w:t>ENAV</w:t>
      </w:r>
      <w:r w:rsidR="005D08CF" w:rsidRPr="00274C38">
        <w:t>-</w:t>
      </w:r>
      <w:r w:rsidR="00274C38">
        <w:rPr>
          <w:highlight w:val="yellow"/>
        </w:rPr>
        <w:t>[</w:t>
      </w:r>
      <w:r w:rsidR="005D08CF" w:rsidRPr="001F045B">
        <w:rPr>
          <w:highlight w:val="yellow"/>
        </w:rPr>
        <w:t>####</w:t>
      </w:r>
      <w:r w:rsidR="00274C38">
        <w:t>]</w:t>
      </w:r>
    </w:p>
    <w:p w14:paraId="664CC555" w14:textId="112E4657" w:rsidR="009E1230" w:rsidRPr="00DF6EB4" w:rsidRDefault="005D08CF" w:rsidP="00DF6EB4">
      <w:pPr>
        <w:pStyle w:val="BlockText"/>
      </w:pPr>
      <w:r w:rsidRPr="00C36DAD">
        <w:t xml:space="preserve">Appendix </w:t>
      </w:r>
      <w:r w:rsidR="00C36DAD" w:rsidRPr="00C36DAD">
        <w:t>3</w:t>
      </w:r>
      <w:r w:rsidRPr="00C36DAD">
        <w:t xml:space="preserve"> </w:t>
      </w:r>
      <w:r w:rsidR="00C36DAD" w:rsidRPr="00C36DAD">
        <w:t>–</w:t>
      </w:r>
      <w:r w:rsidRPr="00C36DAD">
        <w:t xml:space="preserve"> </w:t>
      </w:r>
      <w:r w:rsidR="00C36DAD" w:rsidRPr="00C36DAD">
        <w:t>S</w:t>
      </w:r>
      <w:r w:rsidR="00C36DAD">
        <w:t>ervice Distribution Model</w:t>
      </w:r>
    </w:p>
    <w:p w14:paraId="3EB6BE3E" w14:textId="77777777" w:rsidR="009E1230" w:rsidRPr="00460028" w:rsidRDefault="009E1230"/>
    <w:p w14:paraId="4B8EC591" w14:textId="16166EC4" w:rsidR="00460028" w:rsidRDefault="00460028" w:rsidP="00E22226">
      <w:pPr>
        <w:pStyle w:val="Title"/>
      </w:pPr>
      <w:r>
        <w:t>Table of Contents</w:t>
      </w:r>
    </w:p>
    <w:p w14:paraId="1D5A031D" w14:textId="77777777" w:rsidR="00B176A3" w:rsidRDefault="00F46430">
      <w:pPr>
        <w:pStyle w:val="TOC2"/>
        <w:rPr>
          <w:rFonts w:asciiTheme="minorHAnsi" w:eastAsiaTheme="minorEastAsia" w:hAnsiTheme="minorHAnsi" w:cstheme="minorBidi"/>
          <w:bCs w:val="0"/>
          <w:noProof/>
          <w:szCs w:val="22"/>
          <w:lang w:val="de-DE" w:eastAsia="de-DE"/>
        </w:rPr>
      </w:pPr>
      <w:r>
        <w:rPr>
          <w:b/>
          <w:bCs w:val="0"/>
        </w:rPr>
        <w:fldChar w:fldCharType="begin"/>
      </w:r>
      <w:r w:rsidR="00E22226">
        <w:rPr>
          <w:bCs w:val="0"/>
        </w:rPr>
        <w:instrText xml:space="preserve"> TOC \o "2-3" \h \z \t "Heading 1,1,Title,1,Appendix,5" </w:instrText>
      </w:r>
      <w:r>
        <w:rPr>
          <w:b/>
          <w:bCs w:val="0"/>
        </w:rPr>
        <w:fldChar w:fldCharType="separate"/>
      </w:r>
      <w:hyperlink w:anchor="_Toc395604417" w:history="1">
        <w:r w:rsidR="00B176A3" w:rsidRPr="00065CD9">
          <w:rPr>
            <w:rStyle w:val="Hyperlink"/>
            <w:noProof/>
          </w:rPr>
          <w:t>1.1</w:t>
        </w:r>
        <w:r w:rsidR="00B176A3">
          <w:rPr>
            <w:rFonts w:asciiTheme="minorHAnsi" w:eastAsiaTheme="minorEastAsia" w:hAnsiTheme="minorHAnsi" w:cstheme="minorBidi"/>
            <w:bCs w:val="0"/>
            <w:noProof/>
            <w:szCs w:val="22"/>
            <w:lang w:val="de-DE" w:eastAsia="de-DE"/>
          </w:rPr>
          <w:tab/>
        </w:r>
        <w:r w:rsidR="00B176A3" w:rsidRPr="00065CD9">
          <w:rPr>
            <w:rStyle w:val="Hyperlink"/>
            <w:noProof/>
          </w:rPr>
          <w:t>Functional site definitions</w:t>
        </w:r>
        <w:r w:rsidR="00B176A3">
          <w:rPr>
            <w:noProof/>
            <w:webHidden/>
          </w:rPr>
          <w:tab/>
        </w:r>
        <w:r w:rsidR="00B176A3">
          <w:rPr>
            <w:noProof/>
            <w:webHidden/>
          </w:rPr>
          <w:fldChar w:fldCharType="begin"/>
        </w:r>
        <w:r w:rsidR="00B176A3">
          <w:rPr>
            <w:noProof/>
            <w:webHidden/>
          </w:rPr>
          <w:instrText xml:space="preserve"> PAGEREF _Toc395604417 \h </w:instrText>
        </w:r>
        <w:r w:rsidR="00B176A3">
          <w:rPr>
            <w:noProof/>
            <w:webHidden/>
          </w:rPr>
        </w:r>
        <w:r w:rsidR="00B176A3">
          <w:rPr>
            <w:noProof/>
            <w:webHidden/>
          </w:rPr>
          <w:fldChar w:fldCharType="separate"/>
        </w:r>
        <w:r w:rsidR="00B176A3">
          <w:rPr>
            <w:noProof/>
            <w:webHidden/>
          </w:rPr>
          <w:t>4</w:t>
        </w:r>
        <w:r w:rsidR="00B176A3">
          <w:rPr>
            <w:noProof/>
            <w:webHidden/>
          </w:rPr>
          <w:fldChar w:fldCharType="end"/>
        </w:r>
      </w:hyperlink>
    </w:p>
    <w:p w14:paraId="21364255" w14:textId="77777777" w:rsidR="00B176A3" w:rsidRDefault="007E369F">
      <w:pPr>
        <w:pStyle w:val="TOC3"/>
        <w:rPr>
          <w:rFonts w:asciiTheme="minorHAnsi" w:eastAsiaTheme="minorEastAsia" w:hAnsiTheme="minorHAnsi" w:cstheme="minorBidi"/>
          <w:noProof/>
          <w:sz w:val="22"/>
          <w:szCs w:val="22"/>
          <w:lang w:val="de-DE" w:eastAsia="de-DE"/>
        </w:rPr>
      </w:pPr>
      <w:hyperlink w:anchor="_Toc395604418" w:history="1">
        <w:r w:rsidR="00B176A3" w:rsidRPr="00065CD9">
          <w:rPr>
            <w:rStyle w:val="Hyperlink"/>
            <w:noProof/>
          </w:rPr>
          <w:t>1.1.1</w:t>
        </w:r>
        <w:r w:rsidR="00B176A3">
          <w:rPr>
            <w:rFonts w:asciiTheme="minorHAnsi" w:eastAsiaTheme="minorEastAsia" w:hAnsiTheme="minorHAnsi" w:cstheme="minorBidi"/>
            <w:noProof/>
            <w:sz w:val="22"/>
            <w:szCs w:val="22"/>
            <w:lang w:val="de-DE" w:eastAsia="de-DE"/>
          </w:rPr>
          <w:tab/>
        </w:r>
        <w:r w:rsidR="00B176A3" w:rsidRPr="00065CD9">
          <w:rPr>
            <w:rStyle w:val="Hyperlink"/>
            <w:noProof/>
          </w:rPr>
          <w:t>Remote Site</w:t>
        </w:r>
        <w:r w:rsidR="00B176A3">
          <w:rPr>
            <w:noProof/>
            <w:webHidden/>
          </w:rPr>
          <w:tab/>
        </w:r>
        <w:r w:rsidR="00B176A3">
          <w:rPr>
            <w:noProof/>
            <w:webHidden/>
          </w:rPr>
          <w:fldChar w:fldCharType="begin"/>
        </w:r>
        <w:r w:rsidR="00B176A3">
          <w:rPr>
            <w:noProof/>
            <w:webHidden/>
          </w:rPr>
          <w:instrText xml:space="preserve"> PAGEREF _Toc395604418 \h </w:instrText>
        </w:r>
        <w:r w:rsidR="00B176A3">
          <w:rPr>
            <w:noProof/>
            <w:webHidden/>
          </w:rPr>
        </w:r>
        <w:r w:rsidR="00B176A3">
          <w:rPr>
            <w:noProof/>
            <w:webHidden/>
          </w:rPr>
          <w:fldChar w:fldCharType="separate"/>
        </w:r>
        <w:r w:rsidR="00B176A3">
          <w:rPr>
            <w:noProof/>
            <w:webHidden/>
          </w:rPr>
          <w:t>4</w:t>
        </w:r>
        <w:r w:rsidR="00B176A3">
          <w:rPr>
            <w:noProof/>
            <w:webHidden/>
          </w:rPr>
          <w:fldChar w:fldCharType="end"/>
        </w:r>
      </w:hyperlink>
    </w:p>
    <w:p w14:paraId="399B85B4" w14:textId="77777777" w:rsidR="00B176A3" w:rsidRDefault="007E369F">
      <w:pPr>
        <w:pStyle w:val="TOC3"/>
        <w:rPr>
          <w:rFonts w:asciiTheme="minorHAnsi" w:eastAsiaTheme="minorEastAsia" w:hAnsiTheme="minorHAnsi" w:cstheme="minorBidi"/>
          <w:noProof/>
          <w:sz w:val="22"/>
          <w:szCs w:val="22"/>
          <w:lang w:val="de-DE" w:eastAsia="de-DE"/>
        </w:rPr>
      </w:pPr>
      <w:hyperlink w:anchor="_Toc395604419" w:history="1">
        <w:r w:rsidR="00B176A3" w:rsidRPr="00065CD9">
          <w:rPr>
            <w:rStyle w:val="Hyperlink"/>
            <w:noProof/>
          </w:rPr>
          <w:t>1.1.2</w:t>
        </w:r>
        <w:r w:rsidR="00B176A3">
          <w:rPr>
            <w:rFonts w:asciiTheme="minorHAnsi" w:eastAsiaTheme="minorEastAsia" w:hAnsiTheme="minorHAnsi" w:cstheme="minorBidi"/>
            <w:noProof/>
            <w:sz w:val="22"/>
            <w:szCs w:val="22"/>
            <w:lang w:val="de-DE" w:eastAsia="de-DE"/>
          </w:rPr>
          <w:tab/>
        </w:r>
        <w:r w:rsidR="00B176A3" w:rsidRPr="00065CD9">
          <w:rPr>
            <w:rStyle w:val="Hyperlink"/>
            <w:noProof/>
          </w:rPr>
          <w:t>Node or Node Site</w:t>
        </w:r>
        <w:r w:rsidR="00B176A3">
          <w:rPr>
            <w:noProof/>
            <w:webHidden/>
          </w:rPr>
          <w:tab/>
        </w:r>
        <w:r w:rsidR="00B176A3">
          <w:rPr>
            <w:noProof/>
            <w:webHidden/>
          </w:rPr>
          <w:fldChar w:fldCharType="begin"/>
        </w:r>
        <w:r w:rsidR="00B176A3">
          <w:rPr>
            <w:noProof/>
            <w:webHidden/>
          </w:rPr>
          <w:instrText xml:space="preserve"> PAGEREF _Toc395604419 \h </w:instrText>
        </w:r>
        <w:r w:rsidR="00B176A3">
          <w:rPr>
            <w:noProof/>
            <w:webHidden/>
          </w:rPr>
        </w:r>
        <w:r w:rsidR="00B176A3">
          <w:rPr>
            <w:noProof/>
            <w:webHidden/>
          </w:rPr>
          <w:fldChar w:fldCharType="separate"/>
        </w:r>
        <w:r w:rsidR="00B176A3">
          <w:rPr>
            <w:noProof/>
            <w:webHidden/>
          </w:rPr>
          <w:t>4</w:t>
        </w:r>
        <w:r w:rsidR="00B176A3">
          <w:rPr>
            <w:noProof/>
            <w:webHidden/>
          </w:rPr>
          <w:fldChar w:fldCharType="end"/>
        </w:r>
      </w:hyperlink>
    </w:p>
    <w:p w14:paraId="1E652787" w14:textId="77777777" w:rsidR="00B176A3" w:rsidRDefault="007E369F">
      <w:pPr>
        <w:pStyle w:val="TOC3"/>
        <w:rPr>
          <w:rFonts w:asciiTheme="minorHAnsi" w:eastAsiaTheme="minorEastAsia" w:hAnsiTheme="minorHAnsi" w:cstheme="minorBidi"/>
          <w:noProof/>
          <w:sz w:val="22"/>
          <w:szCs w:val="22"/>
          <w:lang w:val="de-DE" w:eastAsia="de-DE"/>
        </w:rPr>
      </w:pPr>
      <w:hyperlink w:anchor="_Toc395604420" w:history="1">
        <w:r w:rsidR="00B176A3" w:rsidRPr="00065CD9">
          <w:rPr>
            <w:rStyle w:val="Hyperlink"/>
            <w:noProof/>
          </w:rPr>
          <w:t>1.1.3</w:t>
        </w:r>
        <w:r w:rsidR="00B176A3">
          <w:rPr>
            <w:rFonts w:asciiTheme="minorHAnsi" w:eastAsiaTheme="minorEastAsia" w:hAnsiTheme="minorHAnsi" w:cstheme="minorBidi"/>
            <w:noProof/>
            <w:sz w:val="22"/>
            <w:szCs w:val="22"/>
            <w:lang w:val="de-DE" w:eastAsia="de-DE"/>
          </w:rPr>
          <w:tab/>
        </w:r>
        <w:r w:rsidR="00B176A3" w:rsidRPr="00065CD9">
          <w:rPr>
            <w:rStyle w:val="Hyperlink"/>
            <w:noProof/>
          </w:rPr>
          <w:t>Technical Operation Personnel Site – TOP Sites</w:t>
        </w:r>
        <w:r w:rsidR="00B176A3">
          <w:rPr>
            <w:noProof/>
            <w:webHidden/>
          </w:rPr>
          <w:tab/>
        </w:r>
        <w:r w:rsidR="00B176A3">
          <w:rPr>
            <w:noProof/>
            <w:webHidden/>
          </w:rPr>
          <w:fldChar w:fldCharType="begin"/>
        </w:r>
        <w:r w:rsidR="00B176A3">
          <w:rPr>
            <w:noProof/>
            <w:webHidden/>
          </w:rPr>
          <w:instrText xml:space="preserve"> PAGEREF _Toc395604420 \h </w:instrText>
        </w:r>
        <w:r w:rsidR="00B176A3">
          <w:rPr>
            <w:noProof/>
            <w:webHidden/>
          </w:rPr>
        </w:r>
        <w:r w:rsidR="00B176A3">
          <w:rPr>
            <w:noProof/>
            <w:webHidden/>
          </w:rPr>
          <w:fldChar w:fldCharType="separate"/>
        </w:r>
        <w:r w:rsidR="00B176A3">
          <w:rPr>
            <w:noProof/>
            <w:webHidden/>
          </w:rPr>
          <w:t>5</w:t>
        </w:r>
        <w:r w:rsidR="00B176A3">
          <w:rPr>
            <w:noProof/>
            <w:webHidden/>
          </w:rPr>
          <w:fldChar w:fldCharType="end"/>
        </w:r>
      </w:hyperlink>
    </w:p>
    <w:p w14:paraId="29AA376B" w14:textId="77777777" w:rsidR="00B176A3" w:rsidRDefault="007E369F">
      <w:pPr>
        <w:pStyle w:val="TOC3"/>
        <w:rPr>
          <w:rFonts w:asciiTheme="minorHAnsi" w:eastAsiaTheme="minorEastAsia" w:hAnsiTheme="minorHAnsi" w:cstheme="minorBidi"/>
          <w:noProof/>
          <w:sz w:val="22"/>
          <w:szCs w:val="22"/>
          <w:lang w:val="de-DE" w:eastAsia="de-DE"/>
        </w:rPr>
      </w:pPr>
      <w:hyperlink w:anchor="_Toc395604421" w:history="1">
        <w:r w:rsidR="00B176A3" w:rsidRPr="00065CD9">
          <w:rPr>
            <w:rStyle w:val="Hyperlink"/>
            <w:noProof/>
          </w:rPr>
          <w:t>1.1.4</w:t>
        </w:r>
        <w:r w:rsidR="00B176A3">
          <w:rPr>
            <w:rFonts w:asciiTheme="minorHAnsi" w:eastAsiaTheme="minorEastAsia" w:hAnsiTheme="minorHAnsi" w:cstheme="minorBidi"/>
            <w:noProof/>
            <w:sz w:val="22"/>
            <w:szCs w:val="22"/>
            <w:lang w:val="de-DE" w:eastAsia="de-DE"/>
          </w:rPr>
          <w:tab/>
        </w:r>
        <w:r w:rsidR="00B176A3" w:rsidRPr="00065CD9">
          <w:rPr>
            <w:rStyle w:val="Hyperlink"/>
            <w:noProof/>
          </w:rPr>
          <w:t>Technical Development Personnel site – TDP site</w:t>
        </w:r>
        <w:r w:rsidR="00B176A3">
          <w:rPr>
            <w:noProof/>
            <w:webHidden/>
          </w:rPr>
          <w:tab/>
        </w:r>
        <w:r w:rsidR="00B176A3">
          <w:rPr>
            <w:noProof/>
            <w:webHidden/>
          </w:rPr>
          <w:fldChar w:fldCharType="begin"/>
        </w:r>
        <w:r w:rsidR="00B176A3">
          <w:rPr>
            <w:noProof/>
            <w:webHidden/>
          </w:rPr>
          <w:instrText xml:space="preserve"> PAGEREF _Toc395604421 \h </w:instrText>
        </w:r>
        <w:r w:rsidR="00B176A3">
          <w:rPr>
            <w:noProof/>
            <w:webHidden/>
          </w:rPr>
        </w:r>
        <w:r w:rsidR="00B176A3">
          <w:rPr>
            <w:noProof/>
            <w:webHidden/>
          </w:rPr>
          <w:fldChar w:fldCharType="separate"/>
        </w:r>
        <w:r w:rsidR="00B176A3">
          <w:rPr>
            <w:noProof/>
            <w:webHidden/>
          </w:rPr>
          <w:t>5</w:t>
        </w:r>
        <w:r w:rsidR="00B176A3">
          <w:rPr>
            <w:noProof/>
            <w:webHidden/>
          </w:rPr>
          <w:fldChar w:fldCharType="end"/>
        </w:r>
      </w:hyperlink>
    </w:p>
    <w:p w14:paraId="021CC164" w14:textId="77777777" w:rsidR="00B176A3" w:rsidRDefault="007E369F">
      <w:pPr>
        <w:pStyle w:val="TOC3"/>
        <w:rPr>
          <w:rFonts w:asciiTheme="minorHAnsi" w:eastAsiaTheme="minorEastAsia" w:hAnsiTheme="minorHAnsi" w:cstheme="minorBidi"/>
          <w:noProof/>
          <w:sz w:val="22"/>
          <w:szCs w:val="22"/>
          <w:lang w:val="de-DE" w:eastAsia="de-DE"/>
        </w:rPr>
      </w:pPr>
      <w:hyperlink w:anchor="_Toc395604422" w:history="1">
        <w:r w:rsidR="00B176A3" w:rsidRPr="00065CD9">
          <w:rPr>
            <w:rStyle w:val="Hyperlink"/>
            <w:b/>
            <w:noProof/>
          </w:rPr>
          <w:t>1.1.5</w:t>
        </w:r>
        <w:r w:rsidR="00B176A3">
          <w:rPr>
            <w:rFonts w:asciiTheme="minorHAnsi" w:eastAsiaTheme="minorEastAsia" w:hAnsiTheme="minorHAnsi" w:cstheme="minorBidi"/>
            <w:noProof/>
            <w:sz w:val="22"/>
            <w:szCs w:val="22"/>
            <w:lang w:val="de-DE" w:eastAsia="de-DE"/>
          </w:rPr>
          <w:tab/>
        </w:r>
        <w:r w:rsidR="00B176A3" w:rsidRPr="00065CD9">
          <w:rPr>
            <w:rStyle w:val="Hyperlink"/>
            <w:noProof/>
          </w:rPr>
          <w:t>User Sites</w:t>
        </w:r>
        <w:r w:rsidR="00B176A3">
          <w:rPr>
            <w:noProof/>
            <w:webHidden/>
          </w:rPr>
          <w:tab/>
        </w:r>
        <w:r w:rsidR="00B176A3">
          <w:rPr>
            <w:noProof/>
            <w:webHidden/>
          </w:rPr>
          <w:fldChar w:fldCharType="begin"/>
        </w:r>
        <w:r w:rsidR="00B176A3">
          <w:rPr>
            <w:noProof/>
            <w:webHidden/>
          </w:rPr>
          <w:instrText xml:space="preserve"> PAGEREF _Toc395604422 \h </w:instrText>
        </w:r>
        <w:r w:rsidR="00B176A3">
          <w:rPr>
            <w:noProof/>
            <w:webHidden/>
          </w:rPr>
        </w:r>
        <w:r w:rsidR="00B176A3">
          <w:rPr>
            <w:noProof/>
            <w:webHidden/>
          </w:rPr>
          <w:fldChar w:fldCharType="separate"/>
        </w:r>
        <w:r w:rsidR="00B176A3">
          <w:rPr>
            <w:noProof/>
            <w:webHidden/>
          </w:rPr>
          <w:t>6</w:t>
        </w:r>
        <w:r w:rsidR="00B176A3">
          <w:rPr>
            <w:noProof/>
            <w:webHidden/>
          </w:rPr>
          <w:fldChar w:fldCharType="end"/>
        </w:r>
      </w:hyperlink>
    </w:p>
    <w:p w14:paraId="2433D1AD" w14:textId="77777777" w:rsidR="00B176A3" w:rsidRDefault="007E369F">
      <w:pPr>
        <w:pStyle w:val="TOC3"/>
        <w:rPr>
          <w:rFonts w:asciiTheme="minorHAnsi" w:eastAsiaTheme="minorEastAsia" w:hAnsiTheme="minorHAnsi" w:cstheme="minorBidi"/>
          <w:noProof/>
          <w:sz w:val="22"/>
          <w:szCs w:val="22"/>
          <w:lang w:val="de-DE" w:eastAsia="de-DE"/>
        </w:rPr>
      </w:pPr>
      <w:hyperlink w:anchor="_Toc395604423" w:history="1">
        <w:r w:rsidR="00B176A3" w:rsidRPr="00065CD9">
          <w:rPr>
            <w:rStyle w:val="Hyperlink"/>
            <w:noProof/>
          </w:rPr>
          <w:t>1.1.6</w:t>
        </w:r>
        <w:r w:rsidR="00B176A3">
          <w:rPr>
            <w:rFonts w:asciiTheme="minorHAnsi" w:eastAsiaTheme="minorEastAsia" w:hAnsiTheme="minorHAnsi" w:cstheme="minorBidi"/>
            <w:noProof/>
            <w:sz w:val="22"/>
            <w:szCs w:val="22"/>
            <w:lang w:val="de-DE" w:eastAsia="de-DE"/>
          </w:rPr>
          <w:tab/>
        </w:r>
        <w:r w:rsidR="00B176A3" w:rsidRPr="00065CD9">
          <w:rPr>
            <w:rStyle w:val="Hyperlink"/>
            <w:noProof/>
          </w:rPr>
          <w:t>Distribution of Service Management components</w:t>
        </w:r>
        <w:r w:rsidR="00B176A3">
          <w:rPr>
            <w:noProof/>
            <w:webHidden/>
          </w:rPr>
          <w:tab/>
        </w:r>
        <w:r w:rsidR="00B176A3">
          <w:rPr>
            <w:noProof/>
            <w:webHidden/>
          </w:rPr>
          <w:fldChar w:fldCharType="begin"/>
        </w:r>
        <w:r w:rsidR="00B176A3">
          <w:rPr>
            <w:noProof/>
            <w:webHidden/>
          </w:rPr>
          <w:instrText xml:space="preserve"> PAGEREF _Toc395604423 \h </w:instrText>
        </w:r>
        <w:r w:rsidR="00B176A3">
          <w:rPr>
            <w:noProof/>
            <w:webHidden/>
          </w:rPr>
        </w:r>
        <w:r w:rsidR="00B176A3">
          <w:rPr>
            <w:noProof/>
            <w:webHidden/>
          </w:rPr>
          <w:fldChar w:fldCharType="separate"/>
        </w:r>
        <w:r w:rsidR="00B176A3">
          <w:rPr>
            <w:noProof/>
            <w:webHidden/>
          </w:rPr>
          <w:t>6</w:t>
        </w:r>
        <w:r w:rsidR="00B176A3">
          <w:rPr>
            <w:noProof/>
            <w:webHidden/>
          </w:rPr>
          <w:fldChar w:fldCharType="end"/>
        </w:r>
      </w:hyperlink>
    </w:p>
    <w:p w14:paraId="72FFA41A" w14:textId="77777777" w:rsidR="00B176A3" w:rsidRDefault="007E369F">
      <w:pPr>
        <w:pStyle w:val="TOC2"/>
        <w:rPr>
          <w:rFonts w:asciiTheme="minorHAnsi" w:eastAsiaTheme="minorEastAsia" w:hAnsiTheme="minorHAnsi" w:cstheme="minorBidi"/>
          <w:bCs w:val="0"/>
          <w:noProof/>
          <w:szCs w:val="22"/>
          <w:lang w:val="de-DE" w:eastAsia="de-DE"/>
        </w:rPr>
      </w:pPr>
      <w:hyperlink w:anchor="_Toc395604424" w:history="1">
        <w:r w:rsidR="00B176A3" w:rsidRPr="00065CD9">
          <w:rPr>
            <w:rStyle w:val="Hyperlink"/>
            <w:noProof/>
          </w:rPr>
          <w:t>1.2</w:t>
        </w:r>
        <w:r w:rsidR="00B176A3">
          <w:rPr>
            <w:rFonts w:asciiTheme="minorHAnsi" w:eastAsiaTheme="minorEastAsia" w:hAnsiTheme="minorHAnsi" w:cstheme="minorBidi"/>
            <w:bCs w:val="0"/>
            <w:noProof/>
            <w:szCs w:val="22"/>
            <w:lang w:val="de-DE" w:eastAsia="de-DE"/>
          </w:rPr>
          <w:tab/>
        </w:r>
        <w:r w:rsidR="00B176A3" w:rsidRPr="00065CD9">
          <w:rPr>
            <w:rStyle w:val="Hyperlink"/>
            <w:noProof/>
          </w:rPr>
          <w:t>Shore-based data transfer network considerations</w:t>
        </w:r>
        <w:r w:rsidR="00B176A3">
          <w:rPr>
            <w:noProof/>
            <w:webHidden/>
          </w:rPr>
          <w:tab/>
        </w:r>
        <w:r w:rsidR="00B176A3">
          <w:rPr>
            <w:noProof/>
            <w:webHidden/>
          </w:rPr>
          <w:fldChar w:fldCharType="begin"/>
        </w:r>
        <w:r w:rsidR="00B176A3">
          <w:rPr>
            <w:noProof/>
            <w:webHidden/>
          </w:rPr>
          <w:instrText xml:space="preserve"> PAGEREF _Toc395604424 \h </w:instrText>
        </w:r>
        <w:r w:rsidR="00B176A3">
          <w:rPr>
            <w:noProof/>
            <w:webHidden/>
          </w:rPr>
        </w:r>
        <w:r w:rsidR="00B176A3">
          <w:rPr>
            <w:noProof/>
            <w:webHidden/>
          </w:rPr>
          <w:fldChar w:fldCharType="separate"/>
        </w:r>
        <w:r w:rsidR="00B176A3">
          <w:rPr>
            <w:noProof/>
            <w:webHidden/>
          </w:rPr>
          <w:t>6</w:t>
        </w:r>
        <w:r w:rsidR="00B176A3">
          <w:rPr>
            <w:noProof/>
            <w:webHidden/>
          </w:rPr>
          <w:fldChar w:fldCharType="end"/>
        </w:r>
      </w:hyperlink>
    </w:p>
    <w:p w14:paraId="54476A83" w14:textId="77777777" w:rsidR="00B176A3" w:rsidRDefault="007E369F">
      <w:pPr>
        <w:pStyle w:val="TOC3"/>
        <w:rPr>
          <w:rFonts w:asciiTheme="minorHAnsi" w:eastAsiaTheme="minorEastAsia" w:hAnsiTheme="minorHAnsi" w:cstheme="minorBidi"/>
          <w:noProof/>
          <w:sz w:val="22"/>
          <w:szCs w:val="22"/>
          <w:lang w:val="de-DE" w:eastAsia="de-DE"/>
        </w:rPr>
      </w:pPr>
      <w:hyperlink w:anchor="_Toc395604425" w:history="1">
        <w:r w:rsidR="00B176A3" w:rsidRPr="00065CD9">
          <w:rPr>
            <w:rStyle w:val="Hyperlink"/>
            <w:noProof/>
          </w:rPr>
          <w:t>1.2.1</w:t>
        </w:r>
        <w:r w:rsidR="00B176A3">
          <w:rPr>
            <w:rFonts w:asciiTheme="minorHAnsi" w:eastAsiaTheme="minorEastAsia" w:hAnsiTheme="minorHAnsi" w:cstheme="minorBidi"/>
            <w:noProof/>
            <w:sz w:val="22"/>
            <w:szCs w:val="22"/>
            <w:lang w:val="de-DE" w:eastAsia="de-DE"/>
          </w:rPr>
          <w:tab/>
        </w:r>
        <w:r w:rsidR="00B176A3" w:rsidRPr="00065CD9">
          <w:rPr>
            <w:rStyle w:val="Hyperlink"/>
            <w:noProof/>
          </w:rPr>
          <w:t>Functional and physical shore-based data transfer network considerations</w:t>
        </w:r>
        <w:r w:rsidR="00B176A3">
          <w:rPr>
            <w:noProof/>
            <w:webHidden/>
          </w:rPr>
          <w:tab/>
        </w:r>
        <w:r w:rsidR="00B176A3">
          <w:rPr>
            <w:noProof/>
            <w:webHidden/>
          </w:rPr>
          <w:fldChar w:fldCharType="begin"/>
        </w:r>
        <w:r w:rsidR="00B176A3">
          <w:rPr>
            <w:noProof/>
            <w:webHidden/>
          </w:rPr>
          <w:instrText xml:space="preserve"> PAGEREF _Toc395604425 \h </w:instrText>
        </w:r>
        <w:r w:rsidR="00B176A3">
          <w:rPr>
            <w:noProof/>
            <w:webHidden/>
          </w:rPr>
        </w:r>
        <w:r w:rsidR="00B176A3">
          <w:rPr>
            <w:noProof/>
            <w:webHidden/>
          </w:rPr>
          <w:fldChar w:fldCharType="separate"/>
        </w:r>
        <w:r w:rsidR="00B176A3">
          <w:rPr>
            <w:noProof/>
            <w:webHidden/>
          </w:rPr>
          <w:t>6</w:t>
        </w:r>
        <w:r w:rsidR="00B176A3">
          <w:rPr>
            <w:noProof/>
            <w:webHidden/>
          </w:rPr>
          <w:fldChar w:fldCharType="end"/>
        </w:r>
      </w:hyperlink>
    </w:p>
    <w:p w14:paraId="52CE012D" w14:textId="77777777" w:rsidR="00B176A3" w:rsidRDefault="007E369F">
      <w:pPr>
        <w:pStyle w:val="TOC3"/>
        <w:rPr>
          <w:rFonts w:asciiTheme="minorHAnsi" w:eastAsiaTheme="minorEastAsia" w:hAnsiTheme="minorHAnsi" w:cstheme="minorBidi"/>
          <w:noProof/>
          <w:sz w:val="22"/>
          <w:szCs w:val="22"/>
          <w:lang w:val="de-DE" w:eastAsia="de-DE"/>
        </w:rPr>
      </w:pPr>
      <w:hyperlink w:anchor="_Toc395604426" w:history="1">
        <w:r w:rsidR="00B176A3" w:rsidRPr="00065CD9">
          <w:rPr>
            <w:rStyle w:val="Hyperlink"/>
            <w:noProof/>
          </w:rPr>
          <w:t>1.2.2</w:t>
        </w:r>
        <w:r w:rsidR="00B176A3">
          <w:rPr>
            <w:rFonts w:asciiTheme="minorHAnsi" w:eastAsiaTheme="minorEastAsia" w:hAnsiTheme="minorHAnsi" w:cstheme="minorBidi"/>
            <w:noProof/>
            <w:sz w:val="22"/>
            <w:szCs w:val="22"/>
            <w:lang w:val="de-DE" w:eastAsia="de-DE"/>
          </w:rPr>
          <w:tab/>
        </w:r>
        <w:r w:rsidR="00B176A3" w:rsidRPr="00065CD9">
          <w:rPr>
            <w:rStyle w:val="Hyperlink"/>
            <w:noProof/>
          </w:rPr>
          <w:t>Wide-area data transfer network (WAN) considerations</w:t>
        </w:r>
        <w:r w:rsidR="00B176A3">
          <w:rPr>
            <w:noProof/>
            <w:webHidden/>
          </w:rPr>
          <w:tab/>
        </w:r>
        <w:r w:rsidR="00B176A3">
          <w:rPr>
            <w:noProof/>
            <w:webHidden/>
          </w:rPr>
          <w:fldChar w:fldCharType="begin"/>
        </w:r>
        <w:r w:rsidR="00B176A3">
          <w:rPr>
            <w:noProof/>
            <w:webHidden/>
          </w:rPr>
          <w:instrText xml:space="preserve"> PAGEREF _Toc395604426 \h </w:instrText>
        </w:r>
        <w:r w:rsidR="00B176A3">
          <w:rPr>
            <w:noProof/>
            <w:webHidden/>
          </w:rPr>
        </w:r>
        <w:r w:rsidR="00B176A3">
          <w:rPr>
            <w:noProof/>
            <w:webHidden/>
          </w:rPr>
          <w:fldChar w:fldCharType="separate"/>
        </w:r>
        <w:r w:rsidR="00B176A3">
          <w:rPr>
            <w:noProof/>
            <w:webHidden/>
          </w:rPr>
          <w:t>6</w:t>
        </w:r>
        <w:r w:rsidR="00B176A3">
          <w:rPr>
            <w:noProof/>
            <w:webHidden/>
          </w:rPr>
          <w:fldChar w:fldCharType="end"/>
        </w:r>
      </w:hyperlink>
    </w:p>
    <w:p w14:paraId="440FF02B" w14:textId="77777777" w:rsidR="00B176A3" w:rsidRDefault="007E369F">
      <w:pPr>
        <w:pStyle w:val="TOC3"/>
        <w:rPr>
          <w:rFonts w:asciiTheme="minorHAnsi" w:eastAsiaTheme="minorEastAsia" w:hAnsiTheme="minorHAnsi" w:cstheme="minorBidi"/>
          <w:noProof/>
          <w:sz w:val="22"/>
          <w:szCs w:val="22"/>
          <w:lang w:val="de-DE" w:eastAsia="de-DE"/>
        </w:rPr>
      </w:pPr>
      <w:hyperlink w:anchor="_Toc395604427" w:history="1">
        <w:r w:rsidR="00B176A3" w:rsidRPr="00065CD9">
          <w:rPr>
            <w:rStyle w:val="Hyperlink"/>
            <w:noProof/>
          </w:rPr>
          <w:t>1.2.3</w:t>
        </w:r>
        <w:r w:rsidR="00B176A3">
          <w:rPr>
            <w:rFonts w:asciiTheme="minorHAnsi" w:eastAsiaTheme="minorEastAsia" w:hAnsiTheme="minorHAnsi" w:cstheme="minorBidi"/>
            <w:noProof/>
            <w:sz w:val="22"/>
            <w:szCs w:val="22"/>
            <w:lang w:val="de-DE" w:eastAsia="de-DE"/>
          </w:rPr>
          <w:tab/>
        </w:r>
        <w:r w:rsidR="00B176A3" w:rsidRPr="00065CD9">
          <w:rPr>
            <w:rStyle w:val="Hyperlink"/>
            <w:noProof/>
          </w:rPr>
          <w:t>Local-area data transfer network (LAN) considerations</w:t>
        </w:r>
        <w:r w:rsidR="00B176A3">
          <w:rPr>
            <w:noProof/>
            <w:webHidden/>
          </w:rPr>
          <w:tab/>
        </w:r>
        <w:r w:rsidR="00B176A3">
          <w:rPr>
            <w:noProof/>
            <w:webHidden/>
          </w:rPr>
          <w:fldChar w:fldCharType="begin"/>
        </w:r>
        <w:r w:rsidR="00B176A3">
          <w:rPr>
            <w:noProof/>
            <w:webHidden/>
          </w:rPr>
          <w:instrText xml:space="preserve"> PAGEREF _Toc395604427 \h </w:instrText>
        </w:r>
        <w:r w:rsidR="00B176A3">
          <w:rPr>
            <w:noProof/>
            <w:webHidden/>
          </w:rPr>
        </w:r>
        <w:r w:rsidR="00B176A3">
          <w:rPr>
            <w:noProof/>
            <w:webHidden/>
          </w:rPr>
          <w:fldChar w:fldCharType="separate"/>
        </w:r>
        <w:r w:rsidR="00B176A3">
          <w:rPr>
            <w:noProof/>
            <w:webHidden/>
          </w:rPr>
          <w:t>7</w:t>
        </w:r>
        <w:r w:rsidR="00B176A3">
          <w:rPr>
            <w:noProof/>
            <w:webHidden/>
          </w:rPr>
          <w:fldChar w:fldCharType="end"/>
        </w:r>
      </w:hyperlink>
    </w:p>
    <w:p w14:paraId="327D6CC6" w14:textId="77777777" w:rsidR="00B176A3" w:rsidRDefault="007E369F">
      <w:pPr>
        <w:pStyle w:val="TOC2"/>
        <w:rPr>
          <w:rFonts w:asciiTheme="minorHAnsi" w:eastAsiaTheme="minorEastAsia" w:hAnsiTheme="minorHAnsi" w:cstheme="minorBidi"/>
          <w:bCs w:val="0"/>
          <w:noProof/>
          <w:szCs w:val="22"/>
          <w:lang w:val="de-DE" w:eastAsia="de-DE"/>
        </w:rPr>
      </w:pPr>
      <w:hyperlink w:anchor="_Toc395604428" w:history="1">
        <w:r w:rsidR="00B176A3" w:rsidRPr="00065CD9">
          <w:rPr>
            <w:rStyle w:val="Hyperlink"/>
            <w:noProof/>
          </w:rPr>
          <w:t>1.3</w:t>
        </w:r>
        <w:r w:rsidR="00B176A3">
          <w:rPr>
            <w:rFonts w:asciiTheme="minorHAnsi" w:eastAsiaTheme="minorEastAsia" w:hAnsiTheme="minorHAnsi" w:cstheme="minorBidi"/>
            <w:bCs w:val="0"/>
            <w:noProof/>
            <w:szCs w:val="22"/>
            <w:lang w:val="de-DE" w:eastAsia="de-DE"/>
          </w:rPr>
          <w:tab/>
        </w:r>
        <w:r w:rsidR="00B176A3" w:rsidRPr="00065CD9">
          <w:rPr>
            <w:rStyle w:val="Hyperlink"/>
            <w:noProof/>
          </w:rPr>
          <w:t>Resulting distribution configurations for the common shore-based e-Navigation system</w:t>
        </w:r>
        <w:r w:rsidR="00B176A3">
          <w:rPr>
            <w:noProof/>
            <w:webHidden/>
          </w:rPr>
          <w:tab/>
        </w:r>
        <w:r w:rsidR="00B176A3">
          <w:rPr>
            <w:noProof/>
            <w:webHidden/>
          </w:rPr>
          <w:fldChar w:fldCharType="begin"/>
        </w:r>
        <w:r w:rsidR="00B176A3">
          <w:rPr>
            <w:noProof/>
            <w:webHidden/>
          </w:rPr>
          <w:instrText xml:space="preserve"> PAGEREF _Toc395604428 \h </w:instrText>
        </w:r>
        <w:r w:rsidR="00B176A3">
          <w:rPr>
            <w:noProof/>
            <w:webHidden/>
          </w:rPr>
        </w:r>
        <w:r w:rsidR="00B176A3">
          <w:rPr>
            <w:noProof/>
            <w:webHidden/>
          </w:rPr>
          <w:fldChar w:fldCharType="separate"/>
        </w:r>
        <w:r w:rsidR="00B176A3">
          <w:rPr>
            <w:noProof/>
            <w:webHidden/>
          </w:rPr>
          <w:t>7</w:t>
        </w:r>
        <w:r w:rsidR="00B176A3">
          <w:rPr>
            <w:noProof/>
            <w:webHidden/>
          </w:rPr>
          <w:fldChar w:fldCharType="end"/>
        </w:r>
      </w:hyperlink>
    </w:p>
    <w:p w14:paraId="10C2C8E4" w14:textId="77777777" w:rsidR="00B176A3" w:rsidRDefault="007E369F">
      <w:pPr>
        <w:pStyle w:val="TOC2"/>
        <w:rPr>
          <w:rFonts w:asciiTheme="minorHAnsi" w:eastAsiaTheme="minorEastAsia" w:hAnsiTheme="minorHAnsi" w:cstheme="minorBidi"/>
          <w:bCs w:val="0"/>
          <w:noProof/>
          <w:szCs w:val="22"/>
          <w:lang w:val="de-DE" w:eastAsia="de-DE"/>
        </w:rPr>
      </w:pPr>
      <w:hyperlink w:anchor="_Toc395604429" w:history="1">
        <w:r w:rsidR="00B176A3" w:rsidRPr="00065CD9">
          <w:rPr>
            <w:rStyle w:val="Hyperlink"/>
            <w:noProof/>
          </w:rPr>
          <w:t>2.1</w:t>
        </w:r>
        <w:r w:rsidR="00B176A3">
          <w:rPr>
            <w:rFonts w:asciiTheme="minorHAnsi" w:eastAsiaTheme="minorEastAsia" w:hAnsiTheme="minorHAnsi" w:cstheme="minorBidi"/>
            <w:bCs w:val="0"/>
            <w:noProof/>
            <w:szCs w:val="22"/>
            <w:lang w:val="de-DE" w:eastAsia="de-DE"/>
          </w:rPr>
          <w:tab/>
        </w:r>
        <w:r w:rsidR="00B176A3" w:rsidRPr="00065CD9">
          <w:rPr>
            <w:rStyle w:val="Hyperlink"/>
            <w:noProof/>
          </w:rPr>
          <w:t>Multiple-Node Service Distribution Configuration</w:t>
        </w:r>
        <w:r w:rsidR="00B176A3">
          <w:rPr>
            <w:noProof/>
            <w:webHidden/>
          </w:rPr>
          <w:tab/>
        </w:r>
        <w:r w:rsidR="00B176A3">
          <w:rPr>
            <w:noProof/>
            <w:webHidden/>
          </w:rPr>
          <w:fldChar w:fldCharType="begin"/>
        </w:r>
        <w:r w:rsidR="00B176A3">
          <w:rPr>
            <w:noProof/>
            <w:webHidden/>
          </w:rPr>
          <w:instrText xml:space="preserve"> PAGEREF _Toc395604429 \h </w:instrText>
        </w:r>
        <w:r w:rsidR="00B176A3">
          <w:rPr>
            <w:noProof/>
            <w:webHidden/>
          </w:rPr>
        </w:r>
        <w:r w:rsidR="00B176A3">
          <w:rPr>
            <w:noProof/>
            <w:webHidden/>
          </w:rPr>
          <w:fldChar w:fldCharType="separate"/>
        </w:r>
        <w:r w:rsidR="00B176A3">
          <w:rPr>
            <w:noProof/>
            <w:webHidden/>
          </w:rPr>
          <w:t>8</w:t>
        </w:r>
        <w:r w:rsidR="00B176A3">
          <w:rPr>
            <w:noProof/>
            <w:webHidden/>
          </w:rPr>
          <w:fldChar w:fldCharType="end"/>
        </w:r>
      </w:hyperlink>
    </w:p>
    <w:p w14:paraId="1BA187F4" w14:textId="77777777" w:rsidR="00B176A3" w:rsidRDefault="007E369F">
      <w:pPr>
        <w:pStyle w:val="TOC2"/>
        <w:rPr>
          <w:rFonts w:asciiTheme="minorHAnsi" w:eastAsiaTheme="minorEastAsia" w:hAnsiTheme="minorHAnsi" w:cstheme="minorBidi"/>
          <w:bCs w:val="0"/>
          <w:noProof/>
          <w:szCs w:val="22"/>
          <w:lang w:val="de-DE" w:eastAsia="de-DE"/>
        </w:rPr>
      </w:pPr>
      <w:hyperlink w:anchor="_Toc395604430" w:history="1">
        <w:r w:rsidR="00B176A3" w:rsidRPr="00065CD9">
          <w:rPr>
            <w:rStyle w:val="Hyperlink"/>
            <w:noProof/>
          </w:rPr>
          <w:t>2.2</w:t>
        </w:r>
        <w:r w:rsidR="00B176A3">
          <w:rPr>
            <w:rFonts w:asciiTheme="minorHAnsi" w:eastAsiaTheme="minorEastAsia" w:hAnsiTheme="minorHAnsi" w:cstheme="minorBidi"/>
            <w:bCs w:val="0"/>
            <w:noProof/>
            <w:szCs w:val="22"/>
            <w:lang w:val="de-DE" w:eastAsia="de-DE"/>
          </w:rPr>
          <w:tab/>
        </w:r>
        <w:r w:rsidR="00B176A3" w:rsidRPr="00065CD9">
          <w:rPr>
            <w:rStyle w:val="Hyperlink"/>
            <w:noProof/>
          </w:rPr>
          <w:t>One-Node Service Distribution Configuration</w:t>
        </w:r>
        <w:r w:rsidR="00B176A3">
          <w:rPr>
            <w:noProof/>
            <w:webHidden/>
          </w:rPr>
          <w:tab/>
        </w:r>
        <w:r w:rsidR="00B176A3">
          <w:rPr>
            <w:noProof/>
            <w:webHidden/>
          </w:rPr>
          <w:fldChar w:fldCharType="begin"/>
        </w:r>
        <w:r w:rsidR="00B176A3">
          <w:rPr>
            <w:noProof/>
            <w:webHidden/>
          </w:rPr>
          <w:instrText xml:space="preserve"> PAGEREF _Toc395604430 \h </w:instrText>
        </w:r>
        <w:r w:rsidR="00B176A3">
          <w:rPr>
            <w:noProof/>
            <w:webHidden/>
          </w:rPr>
        </w:r>
        <w:r w:rsidR="00B176A3">
          <w:rPr>
            <w:noProof/>
            <w:webHidden/>
          </w:rPr>
          <w:fldChar w:fldCharType="separate"/>
        </w:r>
        <w:r w:rsidR="00B176A3">
          <w:rPr>
            <w:noProof/>
            <w:webHidden/>
          </w:rPr>
          <w:t>10</w:t>
        </w:r>
        <w:r w:rsidR="00B176A3">
          <w:rPr>
            <w:noProof/>
            <w:webHidden/>
          </w:rPr>
          <w:fldChar w:fldCharType="end"/>
        </w:r>
      </w:hyperlink>
    </w:p>
    <w:p w14:paraId="1EE96D2A" w14:textId="77777777" w:rsidR="00B176A3" w:rsidRDefault="007E369F">
      <w:pPr>
        <w:pStyle w:val="TOC2"/>
        <w:rPr>
          <w:rFonts w:asciiTheme="minorHAnsi" w:eastAsiaTheme="minorEastAsia" w:hAnsiTheme="minorHAnsi" w:cstheme="minorBidi"/>
          <w:bCs w:val="0"/>
          <w:noProof/>
          <w:szCs w:val="22"/>
          <w:lang w:val="de-DE" w:eastAsia="de-DE"/>
        </w:rPr>
      </w:pPr>
      <w:hyperlink w:anchor="_Toc395604431" w:history="1">
        <w:r w:rsidR="00B176A3" w:rsidRPr="00065CD9">
          <w:rPr>
            <w:rStyle w:val="Hyperlink"/>
            <w:noProof/>
          </w:rPr>
          <w:t>2.3</w:t>
        </w:r>
        <w:r w:rsidR="00B176A3">
          <w:rPr>
            <w:rFonts w:asciiTheme="minorHAnsi" w:eastAsiaTheme="minorEastAsia" w:hAnsiTheme="minorHAnsi" w:cstheme="minorBidi"/>
            <w:bCs w:val="0"/>
            <w:noProof/>
            <w:szCs w:val="22"/>
            <w:lang w:val="de-DE" w:eastAsia="de-DE"/>
          </w:rPr>
          <w:tab/>
        </w:r>
        <w:r w:rsidR="00B176A3" w:rsidRPr="00065CD9">
          <w:rPr>
            <w:rStyle w:val="Hyperlink"/>
            <w:noProof/>
          </w:rPr>
          <w:t>One-Spot Service Distribution Configuration</w:t>
        </w:r>
        <w:r w:rsidR="00B176A3">
          <w:rPr>
            <w:noProof/>
            <w:webHidden/>
          </w:rPr>
          <w:tab/>
        </w:r>
        <w:r w:rsidR="00B176A3">
          <w:rPr>
            <w:noProof/>
            <w:webHidden/>
          </w:rPr>
          <w:fldChar w:fldCharType="begin"/>
        </w:r>
        <w:r w:rsidR="00B176A3">
          <w:rPr>
            <w:noProof/>
            <w:webHidden/>
          </w:rPr>
          <w:instrText xml:space="preserve"> PAGEREF _Toc395604431 \h </w:instrText>
        </w:r>
        <w:r w:rsidR="00B176A3">
          <w:rPr>
            <w:noProof/>
            <w:webHidden/>
          </w:rPr>
        </w:r>
        <w:r w:rsidR="00B176A3">
          <w:rPr>
            <w:noProof/>
            <w:webHidden/>
          </w:rPr>
          <w:fldChar w:fldCharType="separate"/>
        </w:r>
        <w:r w:rsidR="00B176A3">
          <w:rPr>
            <w:noProof/>
            <w:webHidden/>
          </w:rPr>
          <w:t>12</w:t>
        </w:r>
        <w:r w:rsidR="00B176A3">
          <w:rPr>
            <w:noProof/>
            <w:webHidden/>
          </w:rPr>
          <w:fldChar w:fldCharType="end"/>
        </w:r>
      </w:hyperlink>
    </w:p>
    <w:p w14:paraId="7C0DAFB5" w14:textId="77777777" w:rsidR="00B176A3" w:rsidRDefault="007E369F">
      <w:pPr>
        <w:pStyle w:val="TOC2"/>
        <w:rPr>
          <w:rFonts w:asciiTheme="minorHAnsi" w:eastAsiaTheme="minorEastAsia" w:hAnsiTheme="minorHAnsi" w:cstheme="minorBidi"/>
          <w:bCs w:val="0"/>
          <w:noProof/>
          <w:szCs w:val="22"/>
          <w:lang w:val="de-DE" w:eastAsia="de-DE"/>
        </w:rPr>
      </w:pPr>
      <w:hyperlink w:anchor="_Toc395604432" w:history="1">
        <w:r w:rsidR="00B176A3" w:rsidRPr="00065CD9">
          <w:rPr>
            <w:rStyle w:val="Hyperlink"/>
            <w:noProof/>
          </w:rPr>
          <w:t>2.4</w:t>
        </w:r>
        <w:r w:rsidR="00B176A3">
          <w:rPr>
            <w:rFonts w:asciiTheme="minorHAnsi" w:eastAsiaTheme="minorEastAsia" w:hAnsiTheme="minorHAnsi" w:cstheme="minorBidi"/>
            <w:bCs w:val="0"/>
            <w:noProof/>
            <w:szCs w:val="22"/>
            <w:lang w:val="de-DE" w:eastAsia="de-DE"/>
          </w:rPr>
          <w:tab/>
        </w:r>
        <w:r w:rsidR="00B176A3" w:rsidRPr="00065CD9">
          <w:rPr>
            <w:rStyle w:val="Hyperlink"/>
            <w:noProof/>
          </w:rPr>
          <w:t>Selecting an appropriate Service Distribution Configuration</w:t>
        </w:r>
        <w:r w:rsidR="00B176A3">
          <w:rPr>
            <w:noProof/>
            <w:webHidden/>
          </w:rPr>
          <w:tab/>
        </w:r>
        <w:r w:rsidR="00B176A3">
          <w:rPr>
            <w:noProof/>
            <w:webHidden/>
          </w:rPr>
          <w:fldChar w:fldCharType="begin"/>
        </w:r>
        <w:r w:rsidR="00B176A3">
          <w:rPr>
            <w:noProof/>
            <w:webHidden/>
          </w:rPr>
          <w:instrText xml:space="preserve"> PAGEREF _Toc395604432 \h </w:instrText>
        </w:r>
        <w:r w:rsidR="00B176A3">
          <w:rPr>
            <w:noProof/>
            <w:webHidden/>
          </w:rPr>
        </w:r>
        <w:r w:rsidR="00B176A3">
          <w:rPr>
            <w:noProof/>
            <w:webHidden/>
          </w:rPr>
          <w:fldChar w:fldCharType="separate"/>
        </w:r>
        <w:r w:rsidR="00B176A3">
          <w:rPr>
            <w:noProof/>
            <w:webHidden/>
          </w:rPr>
          <w:t>13</w:t>
        </w:r>
        <w:r w:rsidR="00B176A3">
          <w:rPr>
            <w:noProof/>
            <w:webHidden/>
          </w:rPr>
          <w:fldChar w:fldCharType="end"/>
        </w:r>
      </w:hyperlink>
    </w:p>
    <w:p w14:paraId="341AAF96" w14:textId="77777777" w:rsidR="00B176A3" w:rsidRDefault="007E369F">
      <w:pPr>
        <w:pStyle w:val="TOC2"/>
        <w:rPr>
          <w:rFonts w:asciiTheme="minorHAnsi" w:eastAsiaTheme="minorEastAsia" w:hAnsiTheme="minorHAnsi" w:cstheme="minorBidi"/>
          <w:bCs w:val="0"/>
          <w:noProof/>
          <w:szCs w:val="22"/>
          <w:lang w:val="de-DE" w:eastAsia="de-DE"/>
        </w:rPr>
      </w:pPr>
      <w:hyperlink w:anchor="_Toc395604433" w:history="1">
        <w:r w:rsidR="00B176A3" w:rsidRPr="00065CD9">
          <w:rPr>
            <w:rStyle w:val="Hyperlink"/>
            <w:noProof/>
          </w:rPr>
          <w:t>3.1</w:t>
        </w:r>
        <w:r w:rsidR="00B176A3">
          <w:rPr>
            <w:rFonts w:asciiTheme="minorHAnsi" w:eastAsiaTheme="minorEastAsia" w:hAnsiTheme="minorHAnsi" w:cstheme="minorBidi"/>
            <w:bCs w:val="0"/>
            <w:noProof/>
            <w:szCs w:val="22"/>
            <w:lang w:val="de-DE" w:eastAsia="de-DE"/>
          </w:rPr>
          <w:tab/>
        </w:r>
        <w:r w:rsidR="00B176A3" w:rsidRPr="00065CD9">
          <w:rPr>
            <w:rStyle w:val="Hyperlink"/>
            <w:noProof/>
          </w:rPr>
          <w:t>Introduction</w:t>
        </w:r>
        <w:r w:rsidR="00B176A3">
          <w:rPr>
            <w:noProof/>
            <w:webHidden/>
          </w:rPr>
          <w:tab/>
        </w:r>
        <w:r w:rsidR="00B176A3">
          <w:rPr>
            <w:noProof/>
            <w:webHidden/>
          </w:rPr>
          <w:fldChar w:fldCharType="begin"/>
        </w:r>
        <w:r w:rsidR="00B176A3">
          <w:rPr>
            <w:noProof/>
            <w:webHidden/>
          </w:rPr>
          <w:instrText xml:space="preserve"> PAGEREF _Toc395604433 \h </w:instrText>
        </w:r>
        <w:r w:rsidR="00B176A3">
          <w:rPr>
            <w:noProof/>
            <w:webHidden/>
          </w:rPr>
        </w:r>
        <w:r w:rsidR="00B176A3">
          <w:rPr>
            <w:noProof/>
            <w:webHidden/>
          </w:rPr>
          <w:fldChar w:fldCharType="separate"/>
        </w:r>
        <w:r w:rsidR="00B176A3">
          <w:rPr>
            <w:noProof/>
            <w:webHidden/>
          </w:rPr>
          <w:t>14</w:t>
        </w:r>
        <w:r w:rsidR="00B176A3">
          <w:rPr>
            <w:noProof/>
            <w:webHidden/>
          </w:rPr>
          <w:fldChar w:fldCharType="end"/>
        </w:r>
      </w:hyperlink>
    </w:p>
    <w:p w14:paraId="7ECED87E" w14:textId="77777777" w:rsidR="00B176A3" w:rsidRDefault="007E369F">
      <w:pPr>
        <w:pStyle w:val="TOC2"/>
        <w:rPr>
          <w:rFonts w:asciiTheme="minorHAnsi" w:eastAsiaTheme="minorEastAsia" w:hAnsiTheme="minorHAnsi" w:cstheme="minorBidi"/>
          <w:bCs w:val="0"/>
          <w:noProof/>
          <w:szCs w:val="22"/>
          <w:lang w:val="de-DE" w:eastAsia="de-DE"/>
        </w:rPr>
      </w:pPr>
      <w:hyperlink w:anchor="_Toc395604434" w:history="1">
        <w:r w:rsidR="00B176A3" w:rsidRPr="00065CD9">
          <w:rPr>
            <w:rStyle w:val="Hyperlink"/>
            <w:noProof/>
          </w:rPr>
          <w:t>3.2</w:t>
        </w:r>
        <w:r w:rsidR="00B176A3">
          <w:rPr>
            <w:rFonts w:asciiTheme="minorHAnsi" w:eastAsiaTheme="minorEastAsia" w:hAnsiTheme="minorHAnsi" w:cstheme="minorBidi"/>
            <w:bCs w:val="0"/>
            <w:noProof/>
            <w:szCs w:val="22"/>
            <w:lang w:val="de-DE" w:eastAsia="de-DE"/>
          </w:rPr>
          <w:tab/>
        </w:r>
        <w:r w:rsidR="00B176A3" w:rsidRPr="00065CD9">
          <w:rPr>
            <w:rStyle w:val="Hyperlink"/>
            <w:noProof/>
          </w:rPr>
          <w:t>The concept of the Nominal Coverage Area</w:t>
        </w:r>
        <w:r w:rsidR="00B176A3">
          <w:rPr>
            <w:noProof/>
            <w:webHidden/>
          </w:rPr>
          <w:tab/>
        </w:r>
        <w:r w:rsidR="00B176A3">
          <w:rPr>
            <w:noProof/>
            <w:webHidden/>
          </w:rPr>
          <w:fldChar w:fldCharType="begin"/>
        </w:r>
        <w:r w:rsidR="00B176A3">
          <w:rPr>
            <w:noProof/>
            <w:webHidden/>
          </w:rPr>
          <w:instrText xml:space="preserve"> PAGEREF _Toc395604434 \h </w:instrText>
        </w:r>
        <w:r w:rsidR="00B176A3">
          <w:rPr>
            <w:noProof/>
            <w:webHidden/>
          </w:rPr>
        </w:r>
        <w:r w:rsidR="00B176A3">
          <w:rPr>
            <w:noProof/>
            <w:webHidden/>
          </w:rPr>
          <w:fldChar w:fldCharType="separate"/>
        </w:r>
        <w:r w:rsidR="00B176A3">
          <w:rPr>
            <w:noProof/>
            <w:webHidden/>
          </w:rPr>
          <w:t>15</w:t>
        </w:r>
        <w:r w:rsidR="00B176A3">
          <w:rPr>
            <w:noProof/>
            <w:webHidden/>
          </w:rPr>
          <w:fldChar w:fldCharType="end"/>
        </w:r>
      </w:hyperlink>
    </w:p>
    <w:p w14:paraId="60545328" w14:textId="77777777" w:rsidR="00B176A3" w:rsidRDefault="007E369F">
      <w:pPr>
        <w:pStyle w:val="TOC3"/>
        <w:rPr>
          <w:rFonts w:asciiTheme="minorHAnsi" w:eastAsiaTheme="minorEastAsia" w:hAnsiTheme="minorHAnsi" w:cstheme="minorBidi"/>
          <w:noProof/>
          <w:sz w:val="22"/>
          <w:szCs w:val="22"/>
          <w:lang w:val="de-DE" w:eastAsia="de-DE"/>
        </w:rPr>
      </w:pPr>
      <w:hyperlink w:anchor="_Toc395604435" w:history="1">
        <w:r w:rsidR="00B176A3" w:rsidRPr="00065CD9">
          <w:rPr>
            <w:rStyle w:val="Hyperlink"/>
            <w:noProof/>
          </w:rPr>
          <w:t>3.2.1</w:t>
        </w:r>
        <w:r w:rsidR="00B176A3">
          <w:rPr>
            <w:rFonts w:asciiTheme="minorHAnsi" w:eastAsiaTheme="minorEastAsia" w:hAnsiTheme="minorHAnsi" w:cstheme="minorBidi"/>
            <w:noProof/>
            <w:sz w:val="22"/>
            <w:szCs w:val="22"/>
            <w:lang w:val="de-DE" w:eastAsia="de-DE"/>
          </w:rPr>
          <w:tab/>
        </w:r>
        <w:r w:rsidR="00B176A3" w:rsidRPr="00065CD9">
          <w:rPr>
            <w:rStyle w:val="Hyperlink"/>
            <w:noProof/>
          </w:rPr>
          <w:t>Benefits of defining Nominal Coverage Area</w:t>
        </w:r>
        <w:r w:rsidR="00B176A3">
          <w:rPr>
            <w:noProof/>
            <w:webHidden/>
          </w:rPr>
          <w:tab/>
        </w:r>
        <w:r w:rsidR="00B176A3">
          <w:rPr>
            <w:noProof/>
            <w:webHidden/>
          </w:rPr>
          <w:fldChar w:fldCharType="begin"/>
        </w:r>
        <w:r w:rsidR="00B176A3">
          <w:rPr>
            <w:noProof/>
            <w:webHidden/>
          </w:rPr>
          <w:instrText xml:space="preserve"> PAGEREF _Toc395604435 \h </w:instrText>
        </w:r>
        <w:r w:rsidR="00B176A3">
          <w:rPr>
            <w:noProof/>
            <w:webHidden/>
          </w:rPr>
        </w:r>
        <w:r w:rsidR="00B176A3">
          <w:rPr>
            <w:noProof/>
            <w:webHidden/>
          </w:rPr>
          <w:fldChar w:fldCharType="separate"/>
        </w:r>
        <w:r w:rsidR="00B176A3">
          <w:rPr>
            <w:noProof/>
            <w:webHidden/>
          </w:rPr>
          <w:t>15</w:t>
        </w:r>
        <w:r w:rsidR="00B176A3">
          <w:rPr>
            <w:noProof/>
            <w:webHidden/>
          </w:rPr>
          <w:fldChar w:fldCharType="end"/>
        </w:r>
      </w:hyperlink>
    </w:p>
    <w:p w14:paraId="1E070943" w14:textId="77777777" w:rsidR="00B176A3" w:rsidRDefault="007E369F">
      <w:pPr>
        <w:pStyle w:val="TOC3"/>
        <w:rPr>
          <w:rFonts w:asciiTheme="minorHAnsi" w:eastAsiaTheme="minorEastAsia" w:hAnsiTheme="minorHAnsi" w:cstheme="minorBidi"/>
          <w:noProof/>
          <w:sz w:val="22"/>
          <w:szCs w:val="22"/>
          <w:lang w:val="de-DE" w:eastAsia="de-DE"/>
        </w:rPr>
      </w:pPr>
      <w:hyperlink w:anchor="_Toc395604436" w:history="1">
        <w:r w:rsidR="00B176A3" w:rsidRPr="00065CD9">
          <w:rPr>
            <w:rStyle w:val="Hyperlink"/>
            <w:noProof/>
          </w:rPr>
          <w:t>3.2.2</w:t>
        </w:r>
        <w:r w:rsidR="00B176A3">
          <w:rPr>
            <w:rFonts w:asciiTheme="minorHAnsi" w:eastAsiaTheme="minorEastAsia" w:hAnsiTheme="minorHAnsi" w:cstheme="minorBidi"/>
            <w:noProof/>
            <w:sz w:val="22"/>
            <w:szCs w:val="22"/>
            <w:lang w:val="de-DE" w:eastAsia="de-DE"/>
          </w:rPr>
          <w:tab/>
        </w:r>
        <w:r w:rsidR="00B176A3" w:rsidRPr="00065CD9">
          <w:rPr>
            <w:rStyle w:val="Hyperlink"/>
            <w:noProof/>
          </w:rPr>
          <w:t>Features of the Nominal Coverage Area</w:t>
        </w:r>
        <w:r w:rsidR="00B176A3">
          <w:rPr>
            <w:noProof/>
            <w:webHidden/>
          </w:rPr>
          <w:tab/>
        </w:r>
        <w:r w:rsidR="00B176A3">
          <w:rPr>
            <w:noProof/>
            <w:webHidden/>
          </w:rPr>
          <w:fldChar w:fldCharType="begin"/>
        </w:r>
        <w:r w:rsidR="00B176A3">
          <w:rPr>
            <w:noProof/>
            <w:webHidden/>
          </w:rPr>
          <w:instrText xml:space="preserve"> PAGEREF _Toc395604436 \h </w:instrText>
        </w:r>
        <w:r w:rsidR="00B176A3">
          <w:rPr>
            <w:noProof/>
            <w:webHidden/>
          </w:rPr>
        </w:r>
        <w:r w:rsidR="00B176A3">
          <w:rPr>
            <w:noProof/>
            <w:webHidden/>
          </w:rPr>
          <w:fldChar w:fldCharType="separate"/>
        </w:r>
        <w:r w:rsidR="00B176A3">
          <w:rPr>
            <w:noProof/>
            <w:webHidden/>
          </w:rPr>
          <w:t>16</w:t>
        </w:r>
        <w:r w:rsidR="00B176A3">
          <w:rPr>
            <w:noProof/>
            <w:webHidden/>
          </w:rPr>
          <w:fldChar w:fldCharType="end"/>
        </w:r>
      </w:hyperlink>
    </w:p>
    <w:p w14:paraId="0EFB201E" w14:textId="77777777" w:rsidR="00B176A3" w:rsidRDefault="007E369F">
      <w:pPr>
        <w:pStyle w:val="TOC3"/>
        <w:rPr>
          <w:rFonts w:asciiTheme="minorHAnsi" w:eastAsiaTheme="minorEastAsia" w:hAnsiTheme="minorHAnsi" w:cstheme="minorBidi"/>
          <w:noProof/>
          <w:sz w:val="22"/>
          <w:szCs w:val="22"/>
          <w:lang w:val="de-DE" w:eastAsia="de-DE"/>
        </w:rPr>
      </w:pPr>
      <w:hyperlink w:anchor="_Toc395604437" w:history="1">
        <w:r w:rsidR="00B176A3" w:rsidRPr="00065CD9">
          <w:rPr>
            <w:rStyle w:val="Hyperlink"/>
            <w:noProof/>
          </w:rPr>
          <w:t>3.2.3</w:t>
        </w:r>
        <w:r w:rsidR="00B176A3">
          <w:rPr>
            <w:rFonts w:asciiTheme="minorHAnsi" w:eastAsiaTheme="minorEastAsia" w:hAnsiTheme="minorHAnsi" w:cstheme="minorBidi"/>
            <w:noProof/>
            <w:sz w:val="22"/>
            <w:szCs w:val="22"/>
            <w:lang w:val="de-DE" w:eastAsia="de-DE"/>
          </w:rPr>
          <w:tab/>
        </w:r>
        <w:r w:rsidR="00B176A3" w:rsidRPr="00065CD9">
          <w:rPr>
            <w:rStyle w:val="Hyperlink"/>
            <w:noProof/>
          </w:rPr>
          <w:t>Definition of Nominal Coverage Areas for the service under consideration</w:t>
        </w:r>
        <w:r w:rsidR="00B176A3">
          <w:rPr>
            <w:noProof/>
            <w:webHidden/>
          </w:rPr>
          <w:tab/>
        </w:r>
        <w:r w:rsidR="00B176A3">
          <w:rPr>
            <w:noProof/>
            <w:webHidden/>
          </w:rPr>
          <w:fldChar w:fldCharType="begin"/>
        </w:r>
        <w:r w:rsidR="00B176A3">
          <w:rPr>
            <w:noProof/>
            <w:webHidden/>
          </w:rPr>
          <w:instrText xml:space="preserve"> PAGEREF _Toc395604437 \h </w:instrText>
        </w:r>
        <w:r w:rsidR="00B176A3">
          <w:rPr>
            <w:noProof/>
            <w:webHidden/>
          </w:rPr>
        </w:r>
        <w:r w:rsidR="00B176A3">
          <w:rPr>
            <w:noProof/>
            <w:webHidden/>
          </w:rPr>
          <w:fldChar w:fldCharType="separate"/>
        </w:r>
        <w:r w:rsidR="00B176A3">
          <w:rPr>
            <w:noProof/>
            <w:webHidden/>
          </w:rPr>
          <w:t>16</w:t>
        </w:r>
        <w:r w:rsidR="00B176A3">
          <w:rPr>
            <w:noProof/>
            <w:webHidden/>
          </w:rPr>
          <w:fldChar w:fldCharType="end"/>
        </w:r>
      </w:hyperlink>
    </w:p>
    <w:p w14:paraId="530BCB08" w14:textId="77777777" w:rsidR="00B176A3" w:rsidRDefault="007E369F">
      <w:pPr>
        <w:pStyle w:val="TOC3"/>
        <w:rPr>
          <w:rFonts w:asciiTheme="minorHAnsi" w:eastAsiaTheme="minorEastAsia" w:hAnsiTheme="minorHAnsi" w:cstheme="minorBidi"/>
          <w:noProof/>
          <w:sz w:val="22"/>
          <w:szCs w:val="22"/>
          <w:lang w:val="de-DE" w:eastAsia="de-DE"/>
        </w:rPr>
      </w:pPr>
      <w:hyperlink w:anchor="_Toc395604438" w:history="1">
        <w:r w:rsidR="00B176A3" w:rsidRPr="00065CD9">
          <w:rPr>
            <w:rStyle w:val="Hyperlink"/>
            <w:noProof/>
          </w:rPr>
          <w:t>3.2.4</w:t>
        </w:r>
        <w:r w:rsidR="00B176A3">
          <w:rPr>
            <w:rFonts w:asciiTheme="minorHAnsi" w:eastAsiaTheme="minorEastAsia" w:hAnsiTheme="minorHAnsi" w:cstheme="minorBidi"/>
            <w:noProof/>
            <w:sz w:val="22"/>
            <w:szCs w:val="22"/>
            <w:lang w:val="de-DE" w:eastAsia="de-DE"/>
          </w:rPr>
          <w:tab/>
        </w:r>
        <w:r w:rsidR="00B176A3" w:rsidRPr="00065CD9">
          <w:rPr>
            <w:rStyle w:val="Hyperlink"/>
            <w:noProof/>
          </w:rPr>
          <w:t>Receive Nominal Coverage Area vs. Transmit Nominal Coverage Area</w:t>
        </w:r>
        <w:r w:rsidR="00B176A3">
          <w:rPr>
            <w:noProof/>
            <w:webHidden/>
          </w:rPr>
          <w:tab/>
        </w:r>
        <w:r w:rsidR="00B176A3">
          <w:rPr>
            <w:noProof/>
            <w:webHidden/>
          </w:rPr>
          <w:fldChar w:fldCharType="begin"/>
        </w:r>
        <w:r w:rsidR="00B176A3">
          <w:rPr>
            <w:noProof/>
            <w:webHidden/>
          </w:rPr>
          <w:instrText xml:space="preserve"> PAGEREF _Toc395604438 \h </w:instrText>
        </w:r>
        <w:r w:rsidR="00B176A3">
          <w:rPr>
            <w:noProof/>
            <w:webHidden/>
          </w:rPr>
        </w:r>
        <w:r w:rsidR="00B176A3">
          <w:rPr>
            <w:noProof/>
            <w:webHidden/>
          </w:rPr>
          <w:fldChar w:fldCharType="separate"/>
        </w:r>
        <w:r w:rsidR="00B176A3">
          <w:rPr>
            <w:noProof/>
            <w:webHidden/>
          </w:rPr>
          <w:t>17</w:t>
        </w:r>
        <w:r w:rsidR="00B176A3">
          <w:rPr>
            <w:noProof/>
            <w:webHidden/>
          </w:rPr>
          <w:fldChar w:fldCharType="end"/>
        </w:r>
      </w:hyperlink>
    </w:p>
    <w:p w14:paraId="0678CB3A" w14:textId="77777777" w:rsidR="00B176A3" w:rsidRDefault="007E369F">
      <w:pPr>
        <w:pStyle w:val="TOC3"/>
        <w:rPr>
          <w:rFonts w:asciiTheme="minorHAnsi" w:eastAsiaTheme="minorEastAsia" w:hAnsiTheme="minorHAnsi" w:cstheme="minorBidi"/>
          <w:noProof/>
          <w:sz w:val="22"/>
          <w:szCs w:val="22"/>
          <w:lang w:val="de-DE" w:eastAsia="de-DE"/>
        </w:rPr>
      </w:pPr>
      <w:hyperlink w:anchor="_Toc395604439" w:history="1">
        <w:r w:rsidR="00B176A3" w:rsidRPr="00065CD9">
          <w:rPr>
            <w:rStyle w:val="Hyperlink"/>
            <w:noProof/>
          </w:rPr>
          <w:t>3.2.5</w:t>
        </w:r>
        <w:r w:rsidR="00B176A3">
          <w:rPr>
            <w:rFonts w:asciiTheme="minorHAnsi" w:eastAsiaTheme="minorEastAsia" w:hAnsiTheme="minorHAnsi" w:cstheme="minorBidi"/>
            <w:noProof/>
            <w:sz w:val="22"/>
            <w:szCs w:val="22"/>
            <w:lang w:val="de-DE" w:eastAsia="de-DE"/>
          </w:rPr>
          <w:tab/>
        </w:r>
        <w:r w:rsidR="00B176A3" w:rsidRPr="00065CD9">
          <w:rPr>
            <w:rStyle w:val="Hyperlink"/>
            <w:noProof/>
          </w:rPr>
          <w:t>Visibility and encapsulation of Nominal Coverage Area definitions</w:t>
        </w:r>
        <w:r w:rsidR="00B176A3">
          <w:rPr>
            <w:noProof/>
            <w:webHidden/>
          </w:rPr>
          <w:tab/>
        </w:r>
        <w:r w:rsidR="00B176A3">
          <w:rPr>
            <w:noProof/>
            <w:webHidden/>
          </w:rPr>
          <w:fldChar w:fldCharType="begin"/>
        </w:r>
        <w:r w:rsidR="00B176A3">
          <w:rPr>
            <w:noProof/>
            <w:webHidden/>
          </w:rPr>
          <w:instrText xml:space="preserve"> PAGEREF _Toc395604439 \h </w:instrText>
        </w:r>
        <w:r w:rsidR="00B176A3">
          <w:rPr>
            <w:noProof/>
            <w:webHidden/>
          </w:rPr>
        </w:r>
        <w:r w:rsidR="00B176A3">
          <w:rPr>
            <w:noProof/>
            <w:webHidden/>
          </w:rPr>
          <w:fldChar w:fldCharType="separate"/>
        </w:r>
        <w:r w:rsidR="00B176A3">
          <w:rPr>
            <w:noProof/>
            <w:webHidden/>
          </w:rPr>
          <w:t>18</w:t>
        </w:r>
        <w:r w:rsidR="00B176A3">
          <w:rPr>
            <w:noProof/>
            <w:webHidden/>
          </w:rPr>
          <w:fldChar w:fldCharType="end"/>
        </w:r>
      </w:hyperlink>
    </w:p>
    <w:p w14:paraId="631910F6" w14:textId="77777777" w:rsidR="00B176A3" w:rsidRDefault="007E369F">
      <w:pPr>
        <w:pStyle w:val="TOC3"/>
        <w:rPr>
          <w:rFonts w:asciiTheme="minorHAnsi" w:eastAsiaTheme="minorEastAsia" w:hAnsiTheme="minorHAnsi" w:cstheme="minorBidi"/>
          <w:noProof/>
          <w:sz w:val="22"/>
          <w:szCs w:val="22"/>
          <w:lang w:val="de-DE" w:eastAsia="de-DE"/>
        </w:rPr>
      </w:pPr>
      <w:hyperlink w:anchor="_Toc395604440" w:history="1">
        <w:r w:rsidR="00B176A3" w:rsidRPr="00065CD9">
          <w:rPr>
            <w:rStyle w:val="Hyperlink"/>
            <w:noProof/>
          </w:rPr>
          <w:t>3.2.6</w:t>
        </w:r>
        <w:r w:rsidR="00B176A3">
          <w:rPr>
            <w:rFonts w:asciiTheme="minorHAnsi" w:eastAsiaTheme="minorEastAsia" w:hAnsiTheme="minorHAnsi" w:cstheme="minorBidi"/>
            <w:noProof/>
            <w:sz w:val="22"/>
            <w:szCs w:val="22"/>
            <w:lang w:val="de-DE" w:eastAsia="de-DE"/>
          </w:rPr>
          <w:tab/>
        </w:r>
        <w:r w:rsidR="00B176A3" w:rsidRPr="00065CD9">
          <w:rPr>
            <w:rStyle w:val="Hyperlink"/>
            <w:noProof/>
          </w:rPr>
          <w:t>Generic examples of the Nominal Coverage Area and of the Sector concepts</w:t>
        </w:r>
        <w:r w:rsidR="00B176A3">
          <w:rPr>
            <w:noProof/>
            <w:webHidden/>
          </w:rPr>
          <w:tab/>
        </w:r>
        <w:r w:rsidR="00B176A3">
          <w:rPr>
            <w:noProof/>
            <w:webHidden/>
          </w:rPr>
          <w:fldChar w:fldCharType="begin"/>
        </w:r>
        <w:r w:rsidR="00B176A3">
          <w:rPr>
            <w:noProof/>
            <w:webHidden/>
          </w:rPr>
          <w:instrText xml:space="preserve"> PAGEREF _Toc395604440 \h </w:instrText>
        </w:r>
        <w:r w:rsidR="00B176A3">
          <w:rPr>
            <w:noProof/>
            <w:webHidden/>
          </w:rPr>
        </w:r>
        <w:r w:rsidR="00B176A3">
          <w:rPr>
            <w:noProof/>
            <w:webHidden/>
          </w:rPr>
          <w:fldChar w:fldCharType="separate"/>
        </w:r>
        <w:r w:rsidR="00B176A3">
          <w:rPr>
            <w:noProof/>
            <w:webHidden/>
          </w:rPr>
          <w:t>19</w:t>
        </w:r>
        <w:r w:rsidR="00B176A3">
          <w:rPr>
            <w:noProof/>
            <w:webHidden/>
          </w:rPr>
          <w:fldChar w:fldCharType="end"/>
        </w:r>
      </w:hyperlink>
    </w:p>
    <w:p w14:paraId="53ACA39A" w14:textId="77777777" w:rsidR="00B176A3" w:rsidRDefault="007E369F">
      <w:pPr>
        <w:pStyle w:val="TOC2"/>
        <w:rPr>
          <w:rFonts w:asciiTheme="minorHAnsi" w:eastAsiaTheme="minorEastAsia" w:hAnsiTheme="minorHAnsi" w:cstheme="minorBidi"/>
          <w:bCs w:val="0"/>
          <w:noProof/>
          <w:szCs w:val="22"/>
          <w:lang w:val="de-DE" w:eastAsia="de-DE"/>
        </w:rPr>
      </w:pPr>
      <w:hyperlink w:anchor="_Toc395604441" w:history="1">
        <w:r w:rsidR="00B176A3" w:rsidRPr="00065CD9">
          <w:rPr>
            <w:rStyle w:val="Hyperlink"/>
            <w:noProof/>
          </w:rPr>
          <w:t>4.1</w:t>
        </w:r>
        <w:r w:rsidR="00B176A3">
          <w:rPr>
            <w:rFonts w:asciiTheme="minorHAnsi" w:eastAsiaTheme="minorEastAsia" w:hAnsiTheme="minorHAnsi" w:cstheme="minorBidi"/>
            <w:bCs w:val="0"/>
            <w:noProof/>
            <w:szCs w:val="22"/>
            <w:lang w:val="de-DE" w:eastAsia="de-DE"/>
          </w:rPr>
          <w:tab/>
        </w:r>
        <w:r w:rsidR="00B176A3" w:rsidRPr="00065CD9">
          <w:rPr>
            <w:rStyle w:val="Hyperlink"/>
            <w:noProof/>
          </w:rPr>
          <w:t>Regular and alternative allocation of the PSS</w:t>
        </w:r>
        <w:r w:rsidR="00B176A3">
          <w:rPr>
            <w:noProof/>
            <w:webHidden/>
          </w:rPr>
          <w:tab/>
        </w:r>
        <w:r w:rsidR="00B176A3">
          <w:rPr>
            <w:noProof/>
            <w:webHidden/>
          </w:rPr>
          <w:fldChar w:fldCharType="begin"/>
        </w:r>
        <w:r w:rsidR="00B176A3">
          <w:rPr>
            <w:noProof/>
            <w:webHidden/>
          </w:rPr>
          <w:instrText xml:space="preserve"> PAGEREF _Toc395604441 \h </w:instrText>
        </w:r>
        <w:r w:rsidR="00B176A3">
          <w:rPr>
            <w:noProof/>
            <w:webHidden/>
          </w:rPr>
        </w:r>
        <w:r w:rsidR="00B176A3">
          <w:rPr>
            <w:noProof/>
            <w:webHidden/>
          </w:rPr>
          <w:fldChar w:fldCharType="separate"/>
        </w:r>
        <w:r w:rsidR="00B176A3">
          <w:rPr>
            <w:noProof/>
            <w:webHidden/>
          </w:rPr>
          <w:t>22</w:t>
        </w:r>
        <w:r w:rsidR="00B176A3">
          <w:rPr>
            <w:noProof/>
            <w:webHidden/>
          </w:rPr>
          <w:fldChar w:fldCharType="end"/>
        </w:r>
      </w:hyperlink>
    </w:p>
    <w:p w14:paraId="210D3CEA" w14:textId="77777777" w:rsidR="00B176A3" w:rsidRDefault="007E369F">
      <w:pPr>
        <w:pStyle w:val="TOC2"/>
        <w:rPr>
          <w:rFonts w:asciiTheme="minorHAnsi" w:eastAsiaTheme="minorEastAsia" w:hAnsiTheme="minorHAnsi" w:cstheme="minorBidi"/>
          <w:bCs w:val="0"/>
          <w:noProof/>
          <w:szCs w:val="22"/>
          <w:lang w:val="de-DE" w:eastAsia="de-DE"/>
        </w:rPr>
      </w:pPr>
      <w:hyperlink w:anchor="_Toc395604442" w:history="1">
        <w:r w:rsidR="00B176A3" w:rsidRPr="00065CD9">
          <w:rPr>
            <w:rStyle w:val="Hyperlink"/>
            <w:noProof/>
          </w:rPr>
          <w:t>4.2</w:t>
        </w:r>
        <w:r w:rsidR="00B176A3">
          <w:rPr>
            <w:rFonts w:asciiTheme="minorHAnsi" w:eastAsiaTheme="minorEastAsia" w:hAnsiTheme="minorHAnsi" w:cstheme="minorBidi"/>
            <w:bCs w:val="0"/>
            <w:noProof/>
            <w:szCs w:val="22"/>
            <w:lang w:val="de-DE" w:eastAsia="de-DE"/>
          </w:rPr>
          <w:tab/>
        </w:r>
        <w:r w:rsidR="00B176A3" w:rsidRPr="00065CD9">
          <w:rPr>
            <w:rStyle w:val="Hyperlink"/>
            <w:noProof/>
          </w:rPr>
          <w:t>Comparison of regular with alternative allocation configuration</w:t>
        </w:r>
        <w:r w:rsidR="00B176A3">
          <w:rPr>
            <w:noProof/>
            <w:webHidden/>
          </w:rPr>
          <w:tab/>
        </w:r>
        <w:r w:rsidR="00B176A3">
          <w:rPr>
            <w:noProof/>
            <w:webHidden/>
          </w:rPr>
          <w:fldChar w:fldCharType="begin"/>
        </w:r>
        <w:r w:rsidR="00B176A3">
          <w:rPr>
            <w:noProof/>
            <w:webHidden/>
          </w:rPr>
          <w:instrText xml:space="preserve"> PAGEREF _Toc395604442 \h </w:instrText>
        </w:r>
        <w:r w:rsidR="00B176A3">
          <w:rPr>
            <w:noProof/>
            <w:webHidden/>
          </w:rPr>
        </w:r>
        <w:r w:rsidR="00B176A3">
          <w:rPr>
            <w:noProof/>
            <w:webHidden/>
          </w:rPr>
          <w:fldChar w:fldCharType="separate"/>
        </w:r>
        <w:r w:rsidR="00B176A3">
          <w:rPr>
            <w:noProof/>
            <w:webHidden/>
          </w:rPr>
          <w:t>22</w:t>
        </w:r>
        <w:r w:rsidR="00B176A3">
          <w:rPr>
            <w:noProof/>
            <w:webHidden/>
          </w:rPr>
          <w:fldChar w:fldCharType="end"/>
        </w:r>
      </w:hyperlink>
    </w:p>
    <w:p w14:paraId="13E69B0D" w14:textId="77777777" w:rsidR="00B176A3" w:rsidRDefault="007E369F">
      <w:pPr>
        <w:pStyle w:val="TOC2"/>
        <w:rPr>
          <w:rFonts w:asciiTheme="minorHAnsi" w:eastAsiaTheme="minorEastAsia" w:hAnsiTheme="minorHAnsi" w:cstheme="minorBidi"/>
          <w:bCs w:val="0"/>
          <w:noProof/>
          <w:szCs w:val="22"/>
          <w:lang w:val="de-DE" w:eastAsia="de-DE"/>
        </w:rPr>
      </w:pPr>
      <w:hyperlink w:anchor="_Toc395604443" w:history="1">
        <w:r w:rsidR="00B176A3" w:rsidRPr="00065CD9">
          <w:rPr>
            <w:rStyle w:val="Hyperlink"/>
            <w:noProof/>
          </w:rPr>
          <w:t>4.3</w:t>
        </w:r>
        <w:r w:rsidR="00B176A3">
          <w:rPr>
            <w:rFonts w:asciiTheme="minorHAnsi" w:eastAsiaTheme="minorEastAsia" w:hAnsiTheme="minorHAnsi" w:cstheme="minorBidi"/>
            <w:bCs w:val="0"/>
            <w:noProof/>
            <w:szCs w:val="22"/>
            <w:lang w:val="de-DE" w:eastAsia="de-DE"/>
          </w:rPr>
          <w:tab/>
        </w:r>
        <w:r w:rsidR="00B176A3" w:rsidRPr="00065CD9">
          <w:rPr>
            <w:rStyle w:val="Hyperlink"/>
            <w:noProof/>
          </w:rPr>
          <w:t>Typical fields of application and general recommendation</w:t>
        </w:r>
        <w:r w:rsidR="00B176A3">
          <w:rPr>
            <w:noProof/>
            <w:webHidden/>
          </w:rPr>
          <w:tab/>
        </w:r>
        <w:r w:rsidR="00B176A3">
          <w:rPr>
            <w:noProof/>
            <w:webHidden/>
          </w:rPr>
          <w:fldChar w:fldCharType="begin"/>
        </w:r>
        <w:r w:rsidR="00B176A3">
          <w:rPr>
            <w:noProof/>
            <w:webHidden/>
          </w:rPr>
          <w:instrText xml:space="preserve"> PAGEREF _Toc395604443 \h </w:instrText>
        </w:r>
        <w:r w:rsidR="00B176A3">
          <w:rPr>
            <w:noProof/>
            <w:webHidden/>
          </w:rPr>
        </w:r>
        <w:r w:rsidR="00B176A3">
          <w:rPr>
            <w:noProof/>
            <w:webHidden/>
          </w:rPr>
          <w:fldChar w:fldCharType="separate"/>
        </w:r>
        <w:r w:rsidR="00B176A3">
          <w:rPr>
            <w:noProof/>
            <w:webHidden/>
          </w:rPr>
          <w:t>26</w:t>
        </w:r>
        <w:r w:rsidR="00B176A3">
          <w:rPr>
            <w:noProof/>
            <w:webHidden/>
          </w:rPr>
          <w:fldChar w:fldCharType="end"/>
        </w:r>
      </w:hyperlink>
    </w:p>
    <w:p w14:paraId="10D7047D" w14:textId="77777777" w:rsidR="00B176A3" w:rsidRDefault="007E369F">
      <w:pPr>
        <w:pStyle w:val="TOC3"/>
        <w:rPr>
          <w:rFonts w:asciiTheme="minorHAnsi" w:eastAsiaTheme="minorEastAsia" w:hAnsiTheme="minorHAnsi" w:cstheme="minorBidi"/>
          <w:noProof/>
          <w:sz w:val="22"/>
          <w:szCs w:val="22"/>
          <w:lang w:val="de-DE" w:eastAsia="de-DE"/>
        </w:rPr>
      </w:pPr>
      <w:hyperlink w:anchor="_Toc395604444" w:history="1">
        <w:r w:rsidR="00B176A3" w:rsidRPr="00065CD9">
          <w:rPr>
            <w:rStyle w:val="Hyperlink"/>
            <w:noProof/>
          </w:rPr>
          <w:t>4.3.1</w:t>
        </w:r>
        <w:r w:rsidR="00B176A3">
          <w:rPr>
            <w:rFonts w:asciiTheme="minorHAnsi" w:eastAsiaTheme="minorEastAsia" w:hAnsiTheme="minorHAnsi" w:cstheme="minorBidi"/>
            <w:noProof/>
            <w:sz w:val="22"/>
            <w:szCs w:val="22"/>
            <w:lang w:val="de-DE" w:eastAsia="de-DE"/>
          </w:rPr>
          <w:tab/>
        </w:r>
        <w:r w:rsidR="00B176A3" w:rsidRPr="00065CD9">
          <w:rPr>
            <w:rStyle w:val="Hyperlink"/>
            <w:noProof/>
          </w:rPr>
          <w:t>Typical fields of application for the regular PSS allocation configuration</w:t>
        </w:r>
        <w:r w:rsidR="00B176A3">
          <w:rPr>
            <w:noProof/>
            <w:webHidden/>
          </w:rPr>
          <w:tab/>
        </w:r>
        <w:r w:rsidR="00B176A3">
          <w:rPr>
            <w:noProof/>
            <w:webHidden/>
          </w:rPr>
          <w:fldChar w:fldCharType="begin"/>
        </w:r>
        <w:r w:rsidR="00B176A3">
          <w:rPr>
            <w:noProof/>
            <w:webHidden/>
          </w:rPr>
          <w:instrText xml:space="preserve"> PAGEREF _Toc395604444 \h </w:instrText>
        </w:r>
        <w:r w:rsidR="00B176A3">
          <w:rPr>
            <w:noProof/>
            <w:webHidden/>
          </w:rPr>
        </w:r>
        <w:r w:rsidR="00B176A3">
          <w:rPr>
            <w:noProof/>
            <w:webHidden/>
          </w:rPr>
          <w:fldChar w:fldCharType="separate"/>
        </w:r>
        <w:r w:rsidR="00B176A3">
          <w:rPr>
            <w:noProof/>
            <w:webHidden/>
          </w:rPr>
          <w:t>26</w:t>
        </w:r>
        <w:r w:rsidR="00B176A3">
          <w:rPr>
            <w:noProof/>
            <w:webHidden/>
          </w:rPr>
          <w:fldChar w:fldCharType="end"/>
        </w:r>
      </w:hyperlink>
    </w:p>
    <w:p w14:paraId="23D3DCD2" w14:textId="77777777" w:rsidR="00B176A3" w:rsidRDefault="007E369F">
      <w:pPr>
        <w:pStyle w:val="TOC3"/>
        <w:rPr>
          <w:rFonts w:asciiTheme="minorHAnsi" w:eastAsiaTheme="minorEastAsia" w:hAnsiTheme="minorHAnsi" w:cstheme="minorBidi"/>
          <w:noProof/>
          <w:sz w:val="22"/>
          <w:szCs w:val="22"/>
          <w:lang w:val="de-DE" w:eastAsia="de-DE"/>
        </w:rPr>
      </w:pPr>
      <w:hyperlink w:anchor="_Toc395604445" w:history="1">
        <w:r w:rsidR="00B176A3" w:rsidRPr="00065CD9">
          <w:rPr>
            <w:rStyle w:val="Hyperlink"/>
            <w:noProof/>
          </w:rPr>
          <w:t>4.3.2</w:t>
        </w:r>
        <w:r w:rsidR="00B176A3">
          <w:rPr>
            <w:rFonts w:asciiTheme="minorHAnsi" w:eastAsiaTheme="minorEastAsia" w:hAnsiTheme="minorHAnsi" w:cstheme="minorBidi"/>
            <w:noProof/>
            <w:sz w:val="22"/>
            <w:szCs w:val="22"/>
            <w:lang w:val="de-DE" w:eastAsia="de-DE"/>
          </w:rPr>
          <w:tab/>
        </w:r>
        <w:r w:rsidR="00B176A3" w:rsidRPr="00065CD9">
          <w:rPr>
            <w:rStyle w:val="Hyperlink"/>
            <w:noProof/>
          </w:rPr>
          <w:t>Typical fields of application for the alternative PSS allocation configuration</w:t>
        </w:r>
        <w:r w:rsidR="00B176A3">
          <w:rPr>
            <w:noProof/>
            <w:webHidden/>
          </w:rPr>
          <w:tab/>
        </w:r>
        <w:r w:rsidR="00B176A3">
          <w:rPr>
            <w:noProof/>
            <w:webHidden/>
          </w:rPr>
          <w:fldChar w:fldCharType="begin"/>
        </w:r>
        <w:r w:rsidR="00B176A3">
          <w:rPr>
            <w:noProof/>
            <w:webHidden/>
          </w:rPr>
          <w:instrText xml:space="preserve"> PAGEREF _Toc395604445 \h </w:instrText>
        </w:r>
        <w:r w:rsidR="00B176A3">
          <w:rPr>
            <w:noProof/>
            <w:webHidden/>
          </w:rPr>
        </w:r>
        <w:r w:rsidR="00B176A3">
          <w:rPr>
            <w:noProof/>
            <w:webHidden/>
          </w:rPr>
          <w:fldChar w:fldCharType="separate"/>
        </w:r>
        <w:r w:rsidR="00B176A3">
          <w:rPr>
            <w:noProof/>
            <w:webHidden/>
          </w:rPr>
          <w:t>26</w:t>
        </w:r>
        <w:r w:rsidR="00B176A3">
          <w:rPr>
            <w:noProof/>
            <w:webHidden/>
          </w:rPr>
          <w:fldChar w:fldCharType="end"/>
        </w:r>
      </w:hyperlink>
    </w:p>
    <w:p w14:paraId="11CB1A9D" w14:textId="77777777" w:rsidR="00B176A3" w:rsidRDefault="007E369F">
      <w:pPr>
        <w:pStyle w:val="TOC3"/>
        <w:rPr>
          <w:rFonts w:asciiTheme="minorHAnsi" w:eastAsiaTheme="minorEastAsia" w:hAnsiTheme="minorHAnsi" w:cstheme="minorBidi"/>
          <w:noProof/>
          <w:sz w:val="22"/>
          <w:szCs w:val="22"/>
          <w:lang w:val="de-DE" w:eastAsia="de-DE"/>
        </w:rPr>
      </w:pPr>
      <w:hyperlink w:anchor="_Toc395604446" w:history="1">
        <w:r w:rsidR="00B176A3" w:rsidRPr="00065CD9">
          <w:rPr>
            <w:rStyle w:val="Hyperlink"/>
            <w:noProof/>
          </w:rPr>
          <w:t>4.3.3</w:t>
        </w:r>
        <w:r w:rsidR="00B176A3">
          <w:rPr>
            <w:rFonts w:asciiTheme="minorHAnsi" w:eastAsiaTheme="minorEastAsia" w:hAnsiTheme="minorHAnsi" w:cstheme="minorBidi"/>
            <w:noProof/>
            <w:sz w:val="22"/>
            <w:szCs w:val="22"/>
            <w:lang w:val="de-DE" w:eastAsia="de-DE"/>
          </w:rPr>
          <w:tab/>
        </w:r>
        <w:r w:rsidR="00B176A3" w:rsidRPr="00065CD9">
          <w:rPr>
            <w:rStyle w:val="Hyperlink"/>
            <w:noProof/>
          </w:rPr>
          <w:t>Hybrid allocation configurations</w:t>
        </w:r>
        <w:r w:rsidR="00B176A3">
          <w:rPr>
            <w:noProof/>
            <w:webHidden/>
          </w:rPr>
          <w:tab/>
        </w:r>
        <w:r w:rsidR="00B176A3">
          <w:rPr>
            <w:noProof/>
            <w:webHidden/>
          </w:rPr>
          <w:fldChar w:fldCharType="begin"/>
        </w:r>
        <w:r w:rsidR="00B176A3">
          <w:rPr>
            <w:noProof/>
            <w:webHidden/>
          </w:rPr>
          <w:instrText xml:space="preserve"> PAGEREF _Toc395604446 \h </w:instrText>
        </w:r>
        <w:r w:rsidR="00B176A3">
          <w:rPr>
            <w:noProof/>
            <w:webHidden/>
          </w:rPr>
        </w:r>
        <w:r w:rsidR="00B176A3">
          <w:rPr>
            <w:noProof/>
            <w:webHidden/>
          </w:rPr>
          <w:fldChar w:fldCharType="separate"/>
        </w:r>
        <w:r w:rsidR="00B176A3">
          <w:rPr>
            <w:noProof/>
            <w:webHidden/>
          </w:rPr>
          <w:t>26</w:t>
        </w:r>
        <w:r w:rsidR="00B176A3">
          <w:rPr>
            <w:noProof/>
            <w:webHidden/>
          </w:rPr>
          <w:fldChar w:fldCharType="end"/>
        </w:r>
      </w:hyperlink>
    </w:p>
    <w:p w14:paraId="37C8C6F6" w14:textId="77777777" w:rsidR="00B176A3" w:rsidRDefault="007E369F">
      <w:pPr>
        <w:pStyle w:val="TOC3"/>
        <w:rPr>
          <w:rFonts w:asciiTheme="minorHAnsi" w:eastAsiaTheme="minorEastAsia" w:hAnsiTheme="minorHAnsi" w:cstheme="minorBidi"/>
          <w:noProof/>
          <w:sz w:val="22"/>
          <w:szCs w:val="22"/>
          <w:lang w:val="de-DE" w:eastAsia="de-DE"/>
        </w:rPr>
      </w:pPr>
      <w:hyperlink w:anchor="_Toc395604447" w:history="1">
        <w:r w:rsidR="00B176A3" w:rsidRPr="00065CD9">
          <w:rPr>
            <w:rStyle w:val="Hyperlink"/>
            <w:i/>
            <w:noProof/>
          </w:rPr>
          <w:t>4.3.4</w:t>
        </w:r>
        <w:r w:rsidR="00B176A3">
          <w:rPr>
            <w:rFonts w:asciiTheme="minorHAnsi" w:eastAsiaTheme="minorEastAsia" w:hAnsiTheme="minorHAnsi" w:cstheme="minorBidi"/>
            <w:noProof/>
            <w:sz w:val="22"/>
            <w:szCs w:val="22"/>
            <w:lang w:val="de-DE" w:eastAsia="de-DE"/>
          </w:rPr>
          <w:tab/>
        </w:r>
        <w:r w:rsidR="00B176A3" w:rsidRPr="00065CD9">
          <w:rPr>
            <w:rStyle w:val="Hyperlink"/>
            <w:noProof/>
          </w:rPr>
          <w:t>General Recommendation</w:t>
        </w:r>
        <w:r w:rsidR="00B176A3">
          <w:rPr>
            <w:noProof/>
            <w:webHidden/>
          </w:rPr>
          <w:tab/>
        </w:r>
        <w:r w:rsidR="00B176A3">
          <w:rPr>
            <w:noProof/>
            <w:webHidden/>
          </w:rPr>
          <w:fldChar w:fldCharType="begin"/>
        </w:r>
        <w:r w:rsidR="00B176A3">
          <w:rPr>
            <w:noProof/>
            <w:webHidden/>
          </w:rPr>
          <w:instrText xml:space="preserve"> PAGEREF _Toc395604447 \h </w:instrText>
        </w:r>
        <w:r w:rsidR="00B176A3">
          <w:rPr>
            <w:noProof/>
            <w:webHidden/>
          </w:rPr>
        </w:r>
        <w:r w:rsidR="00B176A3">
          <w:rPr>
            <w:noProof/>
            <w:webHidden/>
          </w:rPr>
          <w:fldChar w:fldCharType="separate"/>
        </w:r>
        <w:r w:rsidR="00B176A3">
          <w:rPr>
            <w:noProof/>
            <w:webHidden/>
          </w:rPr>
          <w:t>26</w:t>
        </w:r>
        <w:r w:rsidR="00B176A3">
          <w:rPr>
            <w:noProof/>
            <w:webHidden/>
          </w:rPr>
          <w:fldChar w:fldCharType="end"/>
        </w:r>
      </w:hyperlink>
    </w:p>
    <w:p w14:paraId="36D17847" w14:textId="77777777" w:rsidR="005207B2" w:rsidRDefault="00F46430" w:rsidP="002D4569">
      <w:pPr>
        <w:pStyle w:val="BodyText"/>
      </w:pPr>
      <w:r>
        <w:rPr>
          <w:rFonts w:cs="Arial"/>
          <w:bCs/>
          <w:caps/>
        </w:rPr>
        <w:fldChar w:fldCharType="end"/>
      </w:r>
    </w:p>
    <w:p w14:paraId="1D001004" w14:textId="77777777" w:rsidR="00E22226" w:rsidRDefault="00E22226" w:rsidP="00E22226">
      <w:pPr>
        <w:pStyle w:val="Title"/>
      </w:pPr>
      <w:r>
        <w:t>Index of Tables</w:t>
      </w:r>
    </w:p>
    <w:p w14:paraId="2A1B1D45" w14:textId="77777777" w:rsidR="00E22226" w:rsidRPr="00B176A3" w:rsidRDefault="00F46430" w:rsidP="00E22226">
      <w:pPr>
        <w:pStyle w:val="BodyText"/>
        <w:rPr>
          <w:lang w:val="de-DE"/>
        </w:rPr>
      </w:pPr>
      <w:r>
        <w:fldChar w:fldCharType="begin"/>
      </w:r>
      <w:r w:rsidR="00E22226" w:rsidRPr="00B176A3">
        <w:rPr>
          <w:lang w:val="de-DE"/>
        </w:rPr>
        <w:instrText xml:space="preserve"> TOC \h \z \t "Table_#" \c </w:instrText>
      </w:r>
      <w:r>
        <w:fldChar w:fldCharType="separate"/>
      </w:r>
      <w:r w:rsidR="00B176A3">
        <w:rPr>
          <w:b/>
          <w:bCs/>
          <w:noProof/>
          <w:lang w:val="de-DE"/>
        </w:rPr>
        <w:t>Es konnten keine Einträge für ein Abbildungsverzeichnis gefunden werden.</w:t>
      </w:r>
      <w:r>
        <w:fldChar w:fldCharType="end"/>
      </w:r>
    </w:p>
    <w:p w14:paraId="6D3EB88E" w14:textId="77777777" w:rsidR="002D4569" w:rsidRPr="00B176A3" w:rsidRDefault="002D4569" w:rsidP="002D4569">
      <w:pPr>
        <w:pStyle w:val="BodyText"/>
        <w:rPr>
          <w:lang w:val="de-DE"/>
        </w:rPr>
      </w:pPr>
    </w:p>
    <w:p w14:paraId="1A3B0D49" w14:textId="77777777" w:rsidR="002D4569" w:rsidRPr="00B176A3" w:rsidRDefault="002D4569" w:rsidP="00D30727">
      <w:pPr>
        <w:pStyle w:val="Title"/>
        <w:rPr>
          <w:lang w:val="de-DE"/>
        </w:rPr>
      </w:pPr>
      <w:r w:rsidRPr="00B176A3">
        <w:rPr>
          <w:lang w:val="de-DE"/>
        </w:rPr>
        <w:t>Index of Figures</w:t>
      </w:r>
    </w:p>
    <w:p w14:paraId="587E797B" w14:textId="77777777" w:rsidR="002D4569" w:rsidRPr="00B176A3" w:rsidRDefault="00F46430" w:rsidP="002D4569">
      <w:pPr>
        <w:pStyle w:val="BodyText"/>
        <w:rPr>
          <w:lang w:val="de-DE"/>
        </w:rPr>
      </w:pPr>
      <w:r>
        <w:fldChar w:fldCharType="begin"/>
      </w:r>
      <w:r w:rsidR="002D4569" w:rsidRPr="00B176A3">
        <w:rPr>
          <w:lang w:val="de-DE"/>
        </w:rPr>
        <w:instrText xml:space="preserve"> TOC \h \z \t "Figure_#" \c </w:instrText>
      </w:r>
      <w:r>
        <w:fldChar w:fldCharType="separate"/>
      </w:r>
      <w:r w:rsidR="00B176A3">
        <w:rPr>
          <w:b/>
          <w:bCs/>
          <w:noProof/>
          <w:lang w:val="de-DE"/>
        </w:rPr>
        <w:t>Es konnten keine Einträge für ein Abbildungsverzeichnis gefunden werden.</w:t>
      </w:r>
      <w:r>
        <w:fldChar w:fldCharType="end"/>
      </w:r>
    </w:p>
    <w:p w14:paraId="07074877" w14:textId="27C8074D" w:rsidR="00985597" w:rsidRDefault="00460028" w:rsidP="00D30727">
      <w:pPr>
        <w:pStyle w:val="Title"/>
      </w:pPr>
      <w:r w:rsidRPr="00B176A3">
        <w:rPr>
          <w:lang w:val="de-DE"/>
        </w:rPr>
        <w:br w:type="page"/>
      </w:r>
      <w:r w:rsidR="005D08CF">
        <w:lastRenderedPageBreak/>
        <w:t>Appendix</w:t>
      </w:r>
      <w:r w:rsidR="00E22226">
        <w:t xml:space="preserve"> </w:t>
      </w:r>
      <w:r w:rsidR="00C36DAD">
        <w:t>3</w:t>
      </w:r>
      <w:r w:rsidR="005D08CF">
        <w:t xml:space="preserve"> - </w:t>
      </w:r>
    </w:p>
    <w:p w14:paraId="3D73BC78" w14:textId="313AD288" w:rsidR="009E1230" w:rsidRPr="00985597" w:rsidRDefault="00C36DAD" w:rsidP="00985597">
      <w:pPr>
        <w:pStyle w:val="BodyText"/>
        <w:jc w:val="center"/>
        <w:rPr>
          <w:b/>
          <w:sz w:val="32"/>
          <w:szCs w:val="32"/>
        </w:rPr>
      </w:pPr>
      <w:r>
        <w:rPr>
          <w:b/>
          <w:sz w:val="32"/>
          <w:szCs w:val="32"/>
        </w:rPr>
        <w:t>Service Distribution Model</w:t>
      </w:r>
    </w:p>
    <w:p w14:paraId="0D1D06BA" w14:textId="77777777" w:rsidR="00B176A3" w:rsidRDefault="00B176A3" w:rsidP="00B176A3">
      <w:pPr>
        <w:pStyle w:val="Heading1"/>
        <w:numPr>
          <w:ilvl w:val="0"/>
          <w:numId w:val="17"/>
        </w:numPr>
        <w:spacing w:after="60"/>
      </w:pPr>
      <w:bookmarkStart w:id="1" w:name="_Toc206576500"/>
      <w:bookmarkStart w:id="2" w:name="_Toc216489705"/>
      <w:r>
        <w:t>Functional building blocks for the distribution configurations</w:t>
      </w:r>
      <w:bookmarkEnd w:id="1"/>
    </w:p>
    <w:p w14:paraId="2D97CBD6" w14:textId="77777777" w:rsidR="00B176A3" w:rsidRDefault="00B176A3" w:rsidP="00B176A3">
      <w:r>
        <w:t xml:space="preserve">When </w:t>
      </w:r>
      <w:proofErr w:type="spellStart"/>
      <w:r>
        <w:t>modeling</w:t>
      </w:r>
      <w:proofErr w:type="spellEnd"/>
      <w:r>
        <w:t xml:space="preserve"> the distribution of a service, the following </w:t>
      </w:r>
      <w:r>
        <w:rPr>
          <w:i/>
        </w:rPr>
        <w:t>functional</w:t>
      </w:r>
      <w:r>
        <w:t xml:space="preserve"> building blocks for any distribution configuration are used. They are </w:t>
      </w:r>
      <w:r>
        <w:rPr>
          <w:i/>
        </w:rPr>
        <w:t>useful definitions</w:t>
      </w:r>
      <w:r>
        <w:t xml:space="preserve"> on a functional level, hence </w:t>
      </w:r>
      <w:r>
        <w:rPr>
          <w:i/>
        </w:rPr>
        <w:t>are abstracted from the concrete physical instances</w:t>
      </w:r>
      <w:r>
        <w:t xml:space="preserve">. </w:t>
      </w:r>
    </w:p>
    <w:p w14:paraId="3373A869" w14:textId="77777777" w:rsidR="00B176A3" w:rsidRDefault="00B176A3" w:rsidP="00B176A3"/>
    <w:p w14:paraId="77108B8C" w14:textId="77777777" w:rsidR="00B176A3" w:rsidRDefault="00B176A3" w:rsidP="00B176A3">
      <w:r>
        <w:t xml:space="preserve">Their </w:t>
      </w:r>
      <w:r>
        <w:rPr>
          <w:i/>
        </w:rPr>
        <w:t>big advantage</w:t>
      </w:r>
      <w:r>
        <w:t xml:space="preserve"> is, that only on this level of abstraction </w:t>
      </w:r>
      <w:r>
        <w:rPr>
          <w:i/>
        </w:rPr>
        <w:t xml:space="preserve">the massive load of technical detail, </w:t>
      </w:r>
      <w:r>
        <w:t>that the service-specific technology and the “sciences” of infrastructure and data transfer technologies tend to provide,</w:t>
      </w:r>
      <w:r>
        <w:rPr>
          <w:i/>
        </w:rPr>
        <w:t xml:space="preserve"> can be avoided</w:t>
      </w:r>
      <w:r>
        <w:t xml:space="preserve"> (which otherwise would clutter up the consideration unnecessarily). Only on this level the </w:t>
      </w:r>
      <w:r>
        <w:rPr>
          <w:i/>
        </w:rPr>
        <w:t xml:space="preserve">more advanced life cycle management concepts </w:t>
      </w:r>
      <w:r>
        <w:t xml:space="preserve">for services and components can be </w:t>
      </w:r>
      <w:r>
        <w:rPr>
          <w:i/>
        </w:rPr>
        <w:t>tied in</w:t>
      </w:r>
      <w:r>
        <w:t xml:space="preserve"> </w:t>
      </w:r>
      <w:r>
        <w:rPr>
          <w:i/>
        </w:rPr>
        <w:t>without cluttering the picture</w:t>
      </w:r>
      <w:r>
        <w:t xml:space="preserve">. Also, the functional site definitions proved useful when making </w:t>
      </w:r>
      <w:r>
        <w:rPr>
          <w:i/>
        </w:rPr>
        <w:t>management decisions</w:t>
      </w:r>
      <w:r>
        <w:t xml:space="preserve"> and when assessing their potential results. </w:t>
      </w:r>
    </w:p>
    <w:p w14:paraId="50C67E08" w14:textId="77777777" w:rsidR="00B176A3" w:rsidRDefault="00B176A3" w:rsidP="00B176A3"/>
    <w:p w14:paraId="69DDE2A1" w14:textId="77777777" w:rsidR="00B176A3" w:rsidRDefault="00B176A3" w:rsidP="00B176A3">
      <w:r>
        <w:t>These functional site definitions comply with object orientation and the service oriented architecture of the shore-based e-Navigation system.</w:t>
      </w:r>
    </w:p>
    <w:p w14:paraId="004C1FA5" w14:textId="77777777" w:rsidR="00B176A3" w:rsidRDefault="00B176A3" w:rsidP="00B176A3"/>
    <w:p w14:paraId="0366B8AA" w14:textId="77777777" w:rsidR="00B176A3" w:rsidRDefault="00B176A3" w:rsidP="00B176A3">
      <w:r>
        <w:t>Note: When explaining the functional site definitions it is useful to forward point to the appropriate Service distribution model definitions by means of example although they will only consecutively be defined.</w:t>
      </w:r>
    </w:p>
    <w:p w14:paraId="16C6FC52" w14:textId="77777777" w:rsidR="00B176A3" w:rsidRDefault="00B176A3" w:rsidP="00B176A3">
      <w:pPr>
        <w:pStyle w:val="Heading2"/>
        <w:keepNext/>
        <w:numPr>
          <w:ilvl w:val="1"/>
          <w:numId w:val="18"/>
        </w:numPr>
        <w:spacing w:before="240" w:after="60"/>
      </w:pPr>
      <w:bookmarkStart w:id="3" w:name="_Toc206576501"/>
      <w:bookmarkStart w:id="4" w:name="_Toc395604417"/>
      <w:r>
        <w:t>Functional site definitions</w:t>
      </w:r>
      <w:bookmarkEnd w:id="3"/>
      <w:bookmarkEnd w:id="4"/>
      <w:r>
        <w:t xml:space="preserve"> </w:t>
      </w:r>
    </w:p>
    <w:p w14:paraId="6ACA9E3A" w14:textId="77777777" w:rsidR="00B176A3" w:rsidRDefault="00B176A3" w:rsidP="00B176A3">
      <w:r>
        <w:t xml:space="preserve">When </w:t>
      </w:r>
      <w:proofErr w:type="spellStart"/>
      <w:r>
        <w:t>modeling</w:t>
      </w:r>
      <w:proofErr w:type="spellEnd"/>
      <w:r>
        <w:t xml:space="preserve"> a service under consideration regarding its distribution aspects, it proved useful to distinguish between the following </w:t>
      </w:r>
      <w:r>
        <w:rPr>
          <w:i/>
        </w:rPr>
        <w:t>functional</w:t>
      </w:r>
      <w:r>
        <w:t xml:space="preserve"> sites:</w:t>
      </w:r>
    </w:p>
    <w:p w14:paraId="7A25192E" w14:textId="77777777" w:rsidR="00B176A3" w:rsidRDefault="00B176A3" w:rsidP="00B176A3">
      <w:pPr>
        <w:pStyle w:val="Heading3"/>
        <w:numPr>
          <w:ilvl w:val="2"/>
          <w:numId w:val="18"/>
        </w:numPr>
        <w:tabs>
          <w:tab w:val="clear" w:pos="851"/>
        </w:tabs>
        <w:spacing w:before="240" w:after="60"/>
      </w:pPr>
      <w:bookmarkStart w:id="5" w:name="_Toc395604418"/>
      <w:r>
        <w:t>Remote Site</w:t>
      </w:r>
      <w:bookmarkEnd w:id="5"/>
    </w:p>
    <w:p w14:paraId="7C43F6C3" w14:textId="77777777" w:rsidR="00B176A3" w:rsidRDefault="00B176A3" w:rsidP="00B176A3">
      <w:pPr>
        <w:numPr>
          <w:ilvl w:val="0"/>
          <w:numId w:val="19"/>
        </w:numPr>
      </w:pPr>
      <w:r>
        <w:t xml:space="preserve">Remote Sites are </w:t>
      </w:r>
      <w:r>
        <w:rPr>
          <w:i/>
        </w:rPr>
        <w:t>only</w:t>
      </w:r>
      <w:r>
        <w:t xml:space="preserve"> populated by services with a Physical Layer.</w:t>
      </w:r>
    </w:p>
    <w:p w14:paraId="565E9D2F" w14:textId="77777777" w:rsidR="00B176A3" w:rsidRDefault="00B176A3" w:rsidP="00B176A3">
      <w:pPr>
        <w:numPr>
          <w:ilvl w:val="0"/>
          <w:numId w:val="19"/>
        </w:numPr>
      </w:pPr>
      <w:r>
        <w:t xml:space="preserve">The Remote Site is where a </w:t>
      </w:r>
      <w:r>
        <w:rPr>
          <w:i/>
        </w:rPr>
        <w:t xml:space="preserve">Remote Shore Station (RSS) of </w:t>
      </w:r>
      <w:r>
        <w:rPr>
          <w:b/>
          <w:i/>
        </w:rPr>
        <w:t>any</w:t>
      </w:r>
      <w:r>
        <w:rPr>
          <w:i/>
        </w:rPr>
        <w:t xml:space="preserve"> of the services of the shore-based system</w:t>
      </w:r>
      <w:r>
        <w:t xml:space="preserve"> is set up physically. </w:t>
      </w:r>
    </w:p>
    <w:p w14:paraId="06C10824" w14:textId="77777777" w:rsidR="00B176A3" w:rsidRDefault="00B176A3" w:rsidP="00B176A3">
      <w:pPr>
        <w:numPr>
          <w:ilvl w:val="0"/>
          <w:numId w:val="19"/>
        </w:numPr>
      </w:pPr>
      <w:r>
        <w:rPr>
          <w:i/>
        </w:rPr>
        <w:t>At</w:t>
      </w:r>
      <w:r>
        <w:t xml:space="preserve"> the Remote Site the </w:t>
      </w:r>
      <w:r>
        <w:rPr>
          <w:i/>
        </w:rPr>
        <w:t>instances of the Physical Layer of the service under consideration</w:t>
      </w:r>
      <w:r>
        <w:t xml:space="preserve"> are materialized, </w:t>
      </w:r>
      <w:r>
        <w:rPr>
          <w:i/>
        </w:rPr>
        <w:t>together</w:t>
      </w:r>
      <w:r>
        <w:t xml:space="preserve"> </w:t>
      </w:r>
      <w:r>
        <w:rPr>
          <w:i/>
        </w:rPr>
        <w:t>with the agents of the Service Management to the Remote Shore Station</w:t>
      </w:r>
      <w:r>
        <w:t>.</w:t>
      </w:r>
    </w:p>
    <w:p w14:paraId="36620E6B" w14:textId="77777777" w:rsidR="00B176A3" w:rsidRDefault="00B176A3" w:rsidP="00B176A3">
      <w:pPr>
        <w:numPr>
          <w:ilvl w:val="0"/>
          <w:numId w:val="19"/>
        </w:numPr>
      </w:pPr>
      <w:r>
        <w:t>As the name implies, the Remote Site is close to the waterway or even sitting in the waterway in order to receive / transmit the signals-in-air or to perform sensory data acquisition. (Note: The Remote Site may not be such “remote” in the case of the One-Spot Service configuration or in some cases of even the Multi-Node Service configuration; see below.)</w:t>
      </w:r>
    </w:p>
    <w:p w14:paraId="6ACFE155" w14:textId="77777777" w:rsidR="00B176A3" w:rsidRDefault="00B176A3" w:rsidP="00B176A3">
      <w:pPr>
        <w:numPr>
          <w:ilvl w:val="0"/>
          <w:numId w:val="19"/>
        </w:numPr>
      </w:pPr>
      <w:r>
        <w:t>Therefore, the required on-site infrastructure is determined mainly by the potentially rough environmental conditions on one hand and by the site’s characteristic as a radio or sensor site with data pre-processing capabilities on the other hand. Also energy supply and protection against various physical and human influences are required. In some cases, a fixed time normal may be required for timing/synchronisation purposes.</w:t>
      </w:r>
    </w:p>
    <w:p w14:paraId="44045824" w14:textId="77777777" w:rsidR="00B176A3" w:rsidRDefault="00B176A3" w:rsidP="00B176A3">
      <w:pPr>
        <w:numPr>
          <w:ilvl w:val="0"/>
          <w:numId w:val="19"/>
        </w:numPr>
      </w:pPr>
      <w:r>
        <w:t>At Remote Sites, the on-site infrastructure is often shared with co-located Remote Shore Stations of other services with a Physical Layer.</w:t>
      </w:r>
    </w:p>
    <w:p w14:paraId="75B623E2" w14:textId="77777777" w:rsidR="00B176A3" w:rsidRDefault="00B176A3" w:rsidP="00B176A3">
      <w:pPr>
        <w:pStyle w:val="Heading3"/>
        <w:numPr>
          <w:ilvl w:val="2"/>
          <w:numId w:val="18"/>
        </w:numPr>
        <w:tabs>
          <w:tab w:val="clear" w:pos="851"/>
        </w:tabs>
        <w:spacing w:before="240" w:after="60"/>
      </w:pPr>
      <w:bookmarkStart w:id="6" w:name="_Toc395604419"/>
      <w:r>
        <w:t>Node or Node Site</w:t>
      </w:r>
      <w:bookmarkEnd w:id="6"/>
      <w:r>
        <w:t xml:space="preserve"> </w:t>
      </w:r>
    </w:p>
    <w:p w14:paraId="678B87E4" w14:textId="77777777" w:rsidR="00B176A3" w:rsidRDefault="00B176A3" w:rsidP="00B176A3">
      <w:pPr>
        <w:numPr>
          <w:ilvl w:val="0"/>
          <w:numId w:val="20"/>
        </w:numPr>
        <w:tabs>
          <w:tab w:val="num" w:pos="360"/>
        </w:tabs>
        <w:ind w:left="360"/>
      </w:pPr>
      <w:r>
        <w:t>All services of the common shore-based system architecture populate at least one Node Site.</w:t>
      </w:r>
    </w:p>
    <w:p w14:paraId="6EE91A28" w14:textId="77777777" w:rsidR="00B176A3" w:rsidRDefault="00B176A3" w:rsidP="00B176A3">
      <w:pPr>
        <w:numPr>
          <w:ilvl w:val="0"/>
          <w:numId w:val="20"/>
        </w:numPr>
        <w:tabs>
          <w:tab w:val="num" w:pos="360"/>
        </w:tabs>
        <w:ind w:left="360"/>
      </w:pPr>
      <w:r>
        <w:t xml:space="preserve">The Node Site is where the instances of the </w:t>
      </w:r>
      <w:r>
        <w:rPr>
          <w:i/>
        </w:rPr>
        <w:t>Logical Shore Stations</w:t>
      </w:r>
      <w:r>
        <w:t xml:space="preserve"> are set up, together with components of the </w:t>
      </w:r>
      <w:r>
        <w:rPr>
          <w:i/>
        </w:rPr>
        <w:t>Service Management</w:t>
      </w:r>
      <w:r>
        <w:t xml:space="preserve"> and other supportive components and/or functionalities of the service-owned infrastructure (such as data storage, data replication).</w:t>
      </w:r>
    </w:p>
    <w:p w14:paraId="7F9D52AF" w14:textId="77777777" w:rsidR="00B176A3" w:rsidRDefault="00B176A3" w:rsidP="00B176A3">
      <w:pPr>
        <w:numPr>
          <w:ilvl w:val="0"/>
          <w:numId w:val="20"/>
        </w:numPr>
        <w:tabs>
          <w:tab w:val="num" w:pos="360"/>
        </w:tabs>
        <w:ind w:left="360"/>
      </w:pPr>
      <w:r>
        <w:lastRenderedPageBreak/>
        <w:t xml:space="preserve">The idea of a Node is to bundle all functionality (and thereby also the physical components carrying that functionality) in a </w:t>
      </w:r>
      <w:r>
        <w:rPr>
          <w:i/>
        </w:rPr>
        <w:t>minimum number of Nodes</w:t>
      </w:r>
      <w:r>
        <w:t xml:space="preserve"> of one administration’s deployment of the service under consideration. This is a strong requirement </w:t>
      </w:r>
      <w:r>
        <w:rPr>
          <w:i/>
        </w:rPr>
        <w:t>from a shore-based system management perspective (operation and maintenance costs!)</w:t>
      </w:r>
      <w:r>
        <w:t xml:space="preserve">. </w:t>
      </w:r>
    </w:p>
    <w:p w14:paraId="517A01D4" w14:textId="77777777" w:rsidR="00B176A3" w:rsidRDefault="00B176A3" w:rsidP="00B176A3">
      <w:pPr>
        <w:numPr>
          <w:ilvl w:val="0"/>
          <w:numId w:val="20"/>
        </w:numPr>
        <w:tabs>
          <w:tab w:val="num" w:pos="360"/>
        </w:tabs>
        <w:ind w:left="360"/>
      </w:pPr>
      <w:r>
        <w:t xml:space="preserve">All functionality which is </w:t>
      </w:r>
      <w:r>
        <w:rPr>
          <w:i/>
        </w:rPr>
        <w:t>not</w:t>
      </w:r>
      <w:r>
        <w:t xml:space="preserve"> rigidly necessary at the Remote Site from a </w:t>
      </w:r>
      <w:r>
        <w:rPr>
          <w:i/>
        </w:rPr>
        <w:t>topology</w:t>
      </w:r>
      <w:r>
        <w:t xml:space="preserve"> point of view </w:t>
      </w:r>
      <w:r>
        <w:rPr>
          <w:i/>
        </w:rPr>
        <w:t>may</w:t>
      </w:r>
      <w:r>
        <w:t xml:space="preserve"> be concentrated at the Node. There is the option not to bundle all of this kind of functionality, if good reasons are opposed to it. But from a system optimization point of view, the </w:t>
      </w:r>
      <w:r>
        <w:rPr>
          <w:i/>
        </w:rPr>
        <w:t>default is concentration of geographically volatile functionality</w:t>
      </w:r>
      <w:r>
        <w:t xml:space="preserve"> </w:t>
      </w:r>
      <w:r>
        <w:rPr>
          <w:i/>
        </w:rPr>
        <w:t>at the Node.</w:t>
      </w:r>
    </w:p>
    <w:p w14:paraId="50A4FE67" w14:textId="77777777" w:rsidR="00B176A3" w:rsidRDefault="00B176A3" w:rsidP="00B176A3">
      <w:pPr>
        <w:numPr>
          <w:ilvl w:val="0"/>
          <w:numId w:val="20"/>
        </w:numPr>
        <w:tabs>
          <w:tab w:val="num" w:pos="360"/>
        </w:tabs>
        <w:ind w:left="360"/>
      </w:pPr>
      <w:r>
        <w:t xml:space="preserve">Hence, by its very definition the Logical Layer of a service is represented at Nodes, </w:t>
      </w:r>
      <w:r>
        <w:rPr>
          <w:i/>
        </w:rPr>
        <w:t>only</w:t>
      </w:r>
      <w:r>
        <w:t>.</w:t>
      </w:r>
    </w:p>
    <w:p w14:paraId="64C08DD5" w14:textId="77777777" w:rsidR="00B176A3" w:rsidRDefault="00B176A3" w:rsidP="00B176A3">
      <w:pPr>
        <w:numPr>
          <w:ilvl w:val="0"/>
          <w:numId w:val="20"/>
        </w:numPr>
        <w:tabs>
          <w:tab w:val="num" w:pos="360"/>
        </w:tabs>
        <w:ind w:left="360"/>
      </w:pPr>
      <w:r>
        <w:t xml:space="preserve">By the same token, the Physical Layer of any service is not represented at Nodes from a functional point of view, </w:t>
      </w:r>
      <w:r>
        <w:rPr>
          <w:i/>
        </w:rPr>
        <w:t>never</w:t>
      </w:r>
      <w:r>
        <w:t xml:space="preserve">. </w:t>
      </w:r>
    </w:p>
    <w:p w14:paraId="4A0E0B1B" w14:textId="77777777" w:rsidR="00B176A3" w:rsidRDefault="00B176A3" w:rsidP="00B176A3">
      <w:pPr>
        <w:numPr>
          <w:ilvl w:val="0"/>
          <w:numId w:val="20"/>
        </w:numPr>
        <w:tabs>
          <w:tab w:val="num" w:pos="360"/>
        </w:tabs>
        <w:ind w:left="360"/>
      </w:pPr>
      <w:r>
        <w:t xml:space="preserve">Data transfer between the service under consideration and other services of the shore-based e-Navigation system takes place at the Node, and at a Node </w:t>
      </w:r>
      <w:r>
        <w:rPr>
          <w:i/>
        </w:rPr>
        <w:t>only</w:t>
      </w:r>
      <w:r>
        <w:t xml:space="preserve"> (service encapsulation principle of the shore-based e-Navigation system architecture applies). This has the following consequences:</w:t>
      </w:r>
    </w:p>
    <w:p w14:paraId="17CCE5C6" w14:textId="77777777" w:rsidR="00B176A3" w:rsidRDefault="00B176A3" w:rsidP="00B176A3">
      <w:pPr>
        <w:numPr>
          <w:ilvl w:val="0"/>
          <w:numId w:val="21"/>
        </w:numPr>
        <w:tabs>
          <w:tab w:val="num" w:pos="720"/>
        </w:tabs>
        <w:ind w:left="720"/>
      </w:pPr>
      <w:r>
        <w:t xml:space="preserve">At the Nodes, the required Basic Services of the service under consideration are provided to other services of the shore-based e-Navigation system as a data transfer between one instance of a Logical Shore Station (LSS) of the service under consideration and one appropriate logical interface of the other service </w:t>
      </w:r>
      <w:r>
        <w:rPr>
          <w:i/>
        </w:rPr>
        <w:t>at the same Node</w:t>
      </w:r>
      <w:r>
        <w:t>.</w:t>
      </w:r>
    </w:p>
    <w:p w14:paraId="2A97A40A" w14:textId="77777777" w:rsidR="00B176A3" w:rsidRDefault="00B176A3" w:rsidP="00B176A3">
      <w:pPr>
        <w:numPr>
          <w:ilvl w:val="0"/>
          <w:numId w:val="21"/>
        </w:numPr>
        <w:tabs>
          <w:tab w:val="num" w:pos="720"/>
        </w:tabs>
        <w:ind w:left="720"/>
      </w:pPr>
      <w:r>
        <w:t xml:space="preserve">Therefore, the data transfer between other services and the service under consideration is </w:t>
      </w:r>
      <w:r>
        <w:rPr>
          <w:i/>
        </w:rPr>
        <w:t>always</w:t>
      </w:r>
      <w:r>
        <w:t xml:space="preserve"> local, i.e. is done using local functional connections between the components involved. Physically, the data transfer uses Local Area Network (LAN) technology. </w:t>
      </w:r>
    </w:p>
    <w:p w14:paraId="167CD593" w14:textId="77777777" w:rsidR="00B176A3" w:rsidRDefault="00B176A3" w:rsidP="00B176A3">
      <w:pPr>
        <w:numPr>
          <w:ilvl w:val="0"/>
          <w:numId w:val="20"/>
        </w:numPr>
        <w:tabs>
          <w:tab w:val="num" w:pos="360"/>
        </w:tabs>
        <w:ind w:left="360"/>
      </w:pPr>
      <w:r>
        <w:rPr>
          <w:i/>
        </w:rPr>
        <w:t>Note 1:</w:t>
      </w:r>
      <w:r>
        <w:t xml:space="preserve"> A Remote Site may be co-located at the same premises or within the same physical shelter or physical housing where there is a Node. However, conceptually-wise Remote Site and Node Site remain two distinct functional sites. </w:t>
      </w:r>
    </w:p>
    <w:p w14:paraId="4E1A15E2" w14:textId="77777777" w:rsidR="00B176A3" w:rsidRDefault="00B176A3" w:rsidP="00B176A3">
      <w:pPr>
        <w:numPr>
          <w:ilvl w:val="0"/>
          <w:numId w:val="20"/>
        </w:numPr>
        <w:tabs>
          <w:tab w:val="num" w:pos="360"/>
        </w:tabs>
        <w:ind w:left="360"/>
      </w:pPr>
      <w:r>
        <w:rPr>
          <w:i/>
        </w:rPr>
        <w:t>Note 2:</w:t>
      </w:r>
      <w:r>
        <w:t xml:space="preserve"> There is an option for an alternative functionality-to-functional site allocation regarding the Physical Shore Station (PSS)–not the whole Physical Layer, though–, if certain conditions are met. This option will be elaborated in some more detail below.</w:t>
      </w:r>
    </w:p>
    <w:p w14:paraId="59C662C1" w14:textId="77777777" w:rsidR="00B176A3" w:rsidRDefault="00B176A3" w:rsidP="00B176A3">
      <w:pPr>
        <w:pStyle w:val="Heading3"/>
        <w:numPr>
          <w:ilvl w:val="2"/>
          <w:numId w:val="18"/>
        </w:numPr>
        <w:tabs>
          <w:tab w:val="clear" w:pos="851"/>
        </w:tabs>
        <w:spacing w:before="240" w:after="60"/>
      </w:pPr>
      <w:bookmarkStart w:id="7" w:name="_Toc395604420"/>
      <w:r>
        <w:t>Technical Operation Personnel Site – TOP Sites</w:t>
      </w:r>
      <w:bookmarkEnd w:id="7"/>
    </w:p>
    <w:p w14:paraId="2AC77648" w14:textId="77777777" w:rsidR="00B176A3" w:rsidRDefault="00B176A3" w:rsidP="00B176A3">
      <w:pPr>
        <w:numPr>
          <w:ilvl w:val="0"/>
          <w:numId w:val="22"/>
        </w:numPr>
      </w:pPr>
      <w:r>
        <w:t xml:space="preserve">This is where Human Machine Interfaces (HMI) </w:t>
      </w:r>
      <w:proofErr w:type="gramStart"/>
      <w:r>
        <w:t>are</w:t>
      </w:r>
      <w:proofErr w:type="gramEnd"/>
      <w:r>
        <w:t xml:space="preserve"> provided by the service under consideration to the Technical Operation Personnel </w:t>
      </w:r>
      <w:r>
        <w:rPr>
          <w:i/>
        </w:rPr>
        <w:t xml:space="preserve">at their workplaces </w:t>
      </w:r>
      <w:r>
        <w:t>as defined by the management of the organization. (The criterion of a defined workplace (even mobile) is important, because there may be Human Machine Interfaces at other functional sites provided by machines to the Technical Operation Personnel for only short-time/quick interaction with the machines.)</w:t>
      </w:r>
    </w:p>
    <w:p w14:paraId="41117EC6" w14:textId="77777777" w:rsidR="00B176A3" w:rsidRDefault="00B176A3" w:rsidP="00B176A3">
      <w:pPr>
        <w:numPr>
          <w:ilvl w:val="0"/>
          <w:numId w:val="22"/>
        </w:numPr>
      </w:pPr>
      <w:r>
        <w:t xml:space="preserve">The Technical Operation Personnel keeps the service components running, does their run-time configuration and repairs defective on-site components. It hasn’t got the license to change structure and / or functionality of the service, though. </w:t>
      </w:r>
    </w:p>
    <w:p w14:paraId="57394ADE" w14:textId="77777777" w:rsidR="00B176A3" w:rsidRDefault="00B176A3" w:rsidP="00B176A3">
      <w:pPr>
        <w:numPr>
          <w:ilvl w:val="0"/>
          <w:numId w:val="22"/>
        </w:numPr>
      </w:pPr>
      <w:r>
        <w:t>The Human Machine Interfaces (HMI) provided by the service at the Technical Operation Personnel Site(s) support(s) these tasks in accordance with role profiles.</w:t>
      </w:r>
    </w:p>
    <w:p w14:paraId="4BFA17CA" w14:textId="77777777" w:rsidR="00B176A3" w:rsidRDefault="00B176A3" w:rsidP="00B176A3">
      <w:pPr>
        <w:numPr>
          <w:ilvl w:val="0"/>
          <w:numId w:val="22"/>
        </w:numPr>
      </w:pPr>
      <w:r>
        <w:t>There are local technical operation tasks and coastal-wide technical operation tasks, in particular the tasks which are associated with the so-called master functionality of the Service Management.</w:t>
      </w:r>
    </w:p>
    <w:p w14:paraId="546F84DC" w14:textId="77777777" w:rsidR="00B176A3" w:rsidRDefault="00B176A3" w:rsidP="00B176A3">
      <w:pPr>
        <w:numPr>
          <w:ilvl w:val="0"/>
          <w:numId w:val="22"/>
        </w:numPr>
      </w:pPr>
      <w:r>
        <w:t xml:space="preserve">There are functional connections between TOP Sites and Remote Sites and between TOP Sites and Node Sites. </w:t>
      </w:r>
    </w:p>
    <w:p w14:paraId="5548DC03" w14:textId="77777777" w:rsidR="00B176A3" w:rsidRDefault="00B176A3" w:rsidP="00B176A3">
      <w:pPr>
        <w:pStyle w:val="Heading3"/>
        <w:numPr>
          <w:ilvl w:val="2"/>
          <w:numId w:val="18"/>
        </w:numPr>
        <w:tabs>
          <w:tab w:val="clear" w:pos="851"/>
        </w:tabs>
        <w:spacing w:before="240" w:after="60"/>
      </w:pPr>
      <w:bookmarkStart w:id="8" w:name="_Toc395604421"/>
      <w:r>
        <w:t>Technical Development Personnel site – TDP site</w:t>
      </w:r>
      <w:bookmarkEnd w:id="8"/>
    </w:p>
    <w:p w14:paraId="672D551A" w14:textId="77777777" w:rsidR="00B176A3" w:rsidRDefault="00B176A3" w:rsidP="00B176A3">
      <w:pPr>
        <w:numPr>
          <w:ilvl w:val="0"/>
          <w:numId w:val="23"/>
        </w:numPr>
        <w:rPr>
          <w:b/>
        </w:rPr>
      </w:pPr>
      <w:r>
        <w:t>Similar to TOP Sites, but the Technical Development Personnel has the license to change structure and / or functionality of the service under consideration.</w:t>
      </w:r>
    </w:p>
    <w:p w14:paraId="5126A381" w14:textId="77777777" w:rsidR="00B176A3" w:rsidRDefault="00B176A3" w:rsidP="00B176A3">
      <w:pPr>
        <w:numPr>
          <w:ilvl w:val="0"/>
          <w:numId w:val="23"/>
        </w:numPr>
        <w:rPr>
          <w:b/>
        </w:rPr>
      </w:pPr>
      <w:r>
        <w:t>Hence, the TDP site is where Human Machine Interfaces (HMI) is provided by the service to the Technical Development Personnel, which would allow them to perform their tasks. One important task is e. g. to download new software releases.</w:t>
      </w:r>
    </w:p>
    <w:p w14:paraId="525B7CA1" w14:textId="77777777" w:rsidR="00B176A3" w:rsidRDefault="00B176A3" w:rsidP="00B176A3">
      <w:pPr>
        <w:numPr>
          <w:ilvl w:val="0"/>
          <w:numId w:val="23"/>
        </w:numPr>
      </w:pPr>
      <w:r>
        <w:lastRenderedPageBreak/>
        <w:t xml:space="preserve">Again, there is the distinction between different roles/tasks of different levels of Technical Development Personnel Sites. </w:t>
      </w:r>
    </w:p>
    <w:p w14:paraId="1AC9147E" w14:textId="77777777" w:rsidR="00B176A3" w:rsidRDefault="00B176A3" w:rsidP="00B176A3">
      <w:pPr>
        <w:numPr>
          <w:ilvl w:val="0"/>
          <w:numId w:val="23"/>
        </w:numPr>
      </w:pPr>
      <w:r>
        <w:t xml:space="preserve">There may be a </w:t>
      </w:r>
      <w:r>
        <w:rPr>
          <w:i/>
        </w:rPr>
        <w:t>Master Technical Development Personnel Site</w:t>
      </w:r>
      <w:r>
        <w:t xml:space="preserve"> for a coastal-wide distributed service. In fact, from a shore-based system management point of view, this would be the default. </w:t>
      </w:r>
    </w:p>
    <w:p w14:paraId="2F23DDBF" w14:textId="77777777" w:rsidR="00B176A3" w:rsidRDefault="00B176A3" w:rsidP="00B176A3">
      <w:pPr>
        <w:numPr>
          <w:ilvl w:val="0"/>
          <w:numId w:val="23"/>
        </w:numPr>
        <w:rPr>
          <w:b/>
        </w:rPr>
      </w:pPr>
      <w:r>
        <w:t>Also, at the Master Technical Development Personnel Site, a reference system for the service under consideration could be provided, which would allow extensive testing before a new software version release is introduced, or which would allow investigation into enhanced capabilities of the service.</w:t>
      </w:r>
    </w:p>
    <w:p w14:paraId="0DFEB62A" w14:textId="77777777" w:rsidR="00B176A3" w:rsidRDefault="00B176A3" w:rsidP="00B176A3">
      <w:pPr>
        <w:pStyle w:val="Heading3"/>
        <w:numPr>
          <w:ilvl w:val="2"/>
          <w:numId w:val="18"/>
        </w:numPr>
        <w:tabs>
          <w:tab w:val="clear" w:pos="851"/>
        </w:tabs>
        <w:spacing w:before="240" w:after="60"/>
        <w:rPr>
          <w:b/>
        </w:rPr>
      </w:pPr>
      <w:bookmarkStart w:id="9" w:name="_Toc395604422"/>
      <w:r>
        <w:t>User Sites</w:t>
      </w:r>
      <w:bookmarkEnd w:id="9"/>
      <w:r>
        <w:t xml:space="preserve"> </w:t>
      </w:r>
    </w:p>
    <w:p w14:paraId="7F9F318F" w14:textId="77777777" w:rsidR="00B176A3" w:rsidRDefault="00B176A3" w:rsidP="00B176A3">
      <w:r>
        <w:t xml:space="preserve">There is a further functional site definition within the generic shore-based e-Navigation distribution model, </w:t>
      </w:r>
      <w:r>
        <w:rPr>
          <w:i/>
        </w:rPr>
        <w:t>i.e.</w:t>
      </w:r>
      <w:r>
        <w:t xml:space="preserve"> the “</w:t>
      </w:r>
      <w:r>
        <w:rPr>
          <w:b/>
        </w:rPr>
        <w:t>User Site”</w:t>
      </w:r>
      <w:r>
        <w:t xml:space="preserve">. </w:t>
      </w:r>
    </w:p>
    <w:p w14:paraId="193D4605" w14:textId="77777777" w:rsidR="00B176A3" w:rsidRDefault="00B176A3" w:rsidP="00B176A3">
      <w:pPr>
        <w:numPr>
          <w:ilvl w:val="0"/>
          <w:numId w:val="24"/>
        </w:numPr>
      </w:pPr>
      <w:r>
        <w:t xml:space="preserve">This is where the data between the shore-based e-Navigation system, of which the service under consideration is a </w:t>
      </w:r>
      <w:proofErr w:type="gramStart"/>
      <w:r>
        <w:t>part,</w:t>
      </w:r>
      <w:proofErr w:type="gramEnd"/>
      <w:r>
        <w:t xml:space="preserve"> and the operational end user is presented by means of a Human Machine Interface (HMI). </w:t>
      </w:r>
    </w:p>
    <w:p w14:paraId="5EB3E616" w14:textId="77777777" w:rsidR="00B176A3" w:rsidRDefault="00B176A3" w:rsidP="00B176A3">
      <w:pPr>
        <w:numPr>
          <w:ilvl w:val="0"/>
          <w:numId w:val="24"/>
        </w:numPr>
      </w:pPr>
      <w:r>
        <w:t>VTS Centres are examples of (sometimes sophisticated) User Sites.</w:t>
      </w:r>
    </w:p>
    <w:p w14:paraId="368EC3A4" w14:textId="77777777" w:rsidR="00B176A3" w:rsidRDefault="00B176A3" w:rsidP="00B176A3">
      <w:pPr>
        <w:numPr>
          <w:ilvl w:val="0"/>
          <w:numId w:val="24"/>
        </w:numPr>
      </w:pPr>
      <w:r>
        <w:t xml:space="preserve">Within the common shore-based e-Navigation system framework, it is </w:t>
      </w:r>
      <w:r>
        <w:rPr>
          <w:i/>
        </w:rPr>
        <w:t>only</w:t>
      </w:r>
      <w:r>
        <w:t xml:space="preserve"> the User Interaction Service (UIA), which populates the User Sites with its Human Machine Interfaces (HMI). </w:t>
      </w:r>
    </w:p>
    <w:p w14:paraId="1DF448C4" w14:textId="77777777" w:rsidR="00B176A3" w:rsidRDefault="00B176A3" w:rsidP="00B176A3">
      <w:pPr>
        <w:numPr>
          <w:ilvl w:val="0"/>
          <w:numId w:val="24"/>
        </w:numPr>
      </w:pPr>
      <w:r>
        <w:t>User Sites are often co-located with Node Sites.</w:t>
      </w:r>
    </w:p>
    <w:p w14:paraId="3F98470B" w14:textId="77777777" w:rsidR="00B176A3" w:rsidRDefault="00B176A3" w:rsidP="00B176A3">
      <w:pPr>
        <w:pStyle w:val="Heading3"/>
        <w:numPr>
          <w:ilvl w:val="2"/>
          <w:numId w:val="18"/>
        </w:numPr>
        <w:tabs>
          <w:tab w:val="clear" w:pos="851"/>
        </w:tabs>
        <w:spacing w:before="240" w:after="60"/>
      </w:pPr>
      <w:bookmarkStart w:id="10" w:name="_Toc395604423"/>
      <w:r>
        <w:t>Distribution of Service Management components</w:t>
      </w:r>
      <w:bookmarkEnd w:id="10"/>
      <w:r>
        <w:t xml:space="preserve"> </w:t>
      </w:r>
    </w:p>
    <w:p w14:paraId="4FEA418B" w14:textId="77777777" w:rsidR="00B176A3" w:rsidRDefault="00B176A3" w:rsidP="00B176A3">
      <w:r>
        <w:t xml:space="preserve">The </w:t>
      </w:r>
      <w:r>
        <w:rPr>
          <w:i/>
        </w:rPr>
        <w:t>Service Management</w:t>
      </w:r>
      <w:r>
        <w:t xml:space="preserve"> is – by its very nature – represented at all functional sites where the service under consideration is present, but special management functionality of the Service Management resides in the Node Site(s), too. For example the so-called </w:t>
      </w:r>
      <w:r>
        <w:rPr>
          <w:i/>
        </w:rPr>
        <w:t>Service Management Master (SM-Master)</w:t>
      </w:r>
      <w:r>
        <w:t xml:space="preserve"> functionality resides in one Node Site out of many (at the Multi-Node Service configuration), only. </w:t>
      </w:r>
    </w:p>
    <w:p w14:paraId="68E15573" w14:textId="77777777" w:rsidR="00B176A3" w:rsidRDefault="00B176A3" w:rsidP="00B176A3">
      <w:pPr>
        <w:pStyle w:val="Heading2"/>
        <w:keepNext/>
        <w:numPr>
          <w:ilvl w:val="1"/>
          <w:numId w:val="18"/>
        </w:numPr>
        <w:spacing w:before="240" w:after="60"/>
      </w:pPr>
      <w:bookmarkStart w:id="11" w:name="_Toc206576502"/>
      <w:bookmarkStart w:id="12" w:name="_Toc395604424"/>
      <w:r>
        <w:t>Shore-based data transfer network considerations</w:t>
      </w:r>
      <w:bookmarkEnd w:id="11"/>
      <w:bookmarkEnd w:id="12"/>
    </w:p>
    <w:p w14:paraId="27980275" w14:textId="77777777" w:rsidR="00B176A3" w:rsidRDefault="00B176A3" w:rsidP="00B176A3">
      <w:pPr>
        <w:pStyle w:val="Heading3"/>
        <w:numPr>
          <w:ilvl w:val="2"/>
          <w:numId w:val="18"/>
        </w:numPr>
        <w:tabs>
          <w:tab w:val="clear" w:pos="851"/>
        </w:tabs>
        <w:spacing w:before="240" w:after="60"/>
      </w:pPr>
      <w:bookmarkStart w:id="13" w:name="_Toc395604425"/>
      <w:r>
        <w:t>Functional and physical shore-based data transfer network considerations</w:t>
      </w:r>
      <w:bookmarkEnd w:id="13"/>
    </w:p>
    <w:p w14:paraId="0DA308A4" w14:textId="77777777" w:rsidR="00B176A3" w:rsidRDefault="00B176A3" w:rsidP="00B176A3">
      <w:r>
        <w:t>There are two levels of data transfer network considerations:</w:t>
      </w:r>
    </w:p>
    <w:p w14:paraId="428F2FA7" w14:textId="77777777" w:rsidR="00B176A3" w:rsidRDefault="00B176A3" w:rsidP="00B176A3">
      <w:pPr>
        <w:numPr>
          <w:ilvl w:val="0"/>
          <w:numId w:val="24"/>
        </w:numPr>
      </w:pPr>
      <w:r>
        <w:rPr>
          <w:i/>
        </w:rPr>
        <w:t>Functional shore-based data transfer connection between functional sites:</w:t>
      </w:r>
      <w:r>
        <w:t xml:space="preserve"> abstracted from physical detail; shows functional data transfer attributes only, i.e. data volume, transfer bandwidth requirements, security attributes etc. How these capabilities are achieved (i.e. by what data transfer technology) is only relevant as far as the actual data transfer technology impacts certain functional data transfer attributes. </w:t>
      </w:r>
    </w:p>
    <w:p w14:paraId="0A23FCBA" w14:textId="77777777" w:rsidR="00B176A3" w:rsidRDefault="00B176A3" w:rsidP="00B176A3">
      <w:pPr>
        <w:numPr>
          <w:ilvl w:val="0"/>
          <w:numId w:val="24"/>
        </w:numPr>
      </w:pPr>
      <w:proofErr w:type="gramStart"/>
      <w:r>
        <w:rPr>
          <w:i/>
        </w:rPr>
        <w:t>physical</w:t>
      </w:r>
      <w:proofErr w:type="gramEnd"/>
      <w:r>
        <w:rPr>
          <w:i/>
        </w:rPr>
        <w:t xml:space="preserve"> shore-based data transfer means of whatever kind:</w:t>
      </w:r>
      <w:r>
        <w:t xml:space="preserve"> here the functional shore-based data transfer connections are translated into concrete technological designs.</w:t>
      </w:r>
    </w:p>
    <w:p w14:paraId="21A323FE" w14:textId="77777777" w:rsidR="00B176A3" w:rsidRDefault="00B176A3" w:rsidP="00B176A3"/>
    <w:p w14:paraId="0AA89880" w14:textId="77777777" w:rsidR="00B176A3" w:rsidRDefault="00B176A3" w:rsidP="00B176A3">
      <w:r>
        <w:t>Obviously, the functional shore-based data transfer connections between the above sites are the relevant level of consideration when defining the Distribution Model of the service under consideration. Only on this level of abstraction the massive load of technical detail, the physical shore-based data transfer means tend to provide, can be avoided (which otherwise would clutter up the consideration unnecessarily). Also, only on this level of abstraction can there be achieved a solution which is more stable over a long period of time when there is a high succession rate of different physical data transfer technologies involved.</w:t>
      </w:r>
    </w:p>
    <w:p w14:paraId="00EF1615" w14:textId="77777777" w:rsidR="00B176A3" w:rsidRDefault="00B176A3" w:rsidP="00B176A3">
      <w:pPr>
        <w:pStyle w:val="Heading3"/>
        <w:numPr>
          <w:ilvl w:val="2"/>
          <w:numId w:val="18"/>
        </w:numPr>
        <w:tabs>
          <w:tab w:val="clear" w:pos="851"/>
        </w:tabs>
        <w:spacing w:before="240" w:after="60"/>
      </w:pPr>
      <w:bookmarkStart w:id="14" w:name="_Toc395604426"/>
      <w:r>
        <w:t>Wide-area data transfer network (WAN) considerations</w:t>
      </w:r>
      <w:bookmarkEnd w:id="14"/>
    </w:p>
    <w:p w14:paraId="6F2EE437" w14:textId="77777777" w:rsidR="00B176A3" w:rsidRDefault="00B176A3" w:rsidP="00B176A3">
      <w:r>
        <w:t xml:space="preserve">When data is to be exchanged between two different functional sites, which are </w:t>
      </w:r>
      <w:r>
        <w:rPr>
          <w:i/>
        </w:rPr>
        <w:t>geographically distinctly separated</w:t>
      </w:r>
      <w:r>
        <w:t xml:space="preserve">, wide-area data transfer network considerations are necessary. This is always the case in the One-Node or the Multiple-Node Service Configurations, never in the One-Spot Service Configuration. </w:t>
      </w:r>
    </w:p>
    <w:p w14:paraId="74F601D9" w14:textId="77777777" w:rsidR="00B176A3" w:rsidRDefault="00B176A3" w:rsidP="00B176A3"/>
    <w:p w14:paraId="1CB1CE68" w14:textId="77777777" w:rsidR="00B176A3" w:rsidRDefault="00B176A3" w:rsidP="00B176A3">
      <w:r>
        <w:lastRenderedPageBreak/>
        <w:t>On the functional level, there can be discerned to functionally distinct data transfer connections:</w:t>
      </w:r>
    </w:p>
    <w:p w14:paraId="6C4826E6" w14:textId="77777777" w:rsidR="00B176A3" w:rsidRDefault="00B176A3" w:rsidP="00B176A3">
      <w:pPr>
        <w:numPr>
          <w:ilvl w:val="0"/>
          <w:numId w:val="25"/>
        </w:numPr>
        <w:rPr>
          <w:i/>
        </w:rPr>
      </w:pPr>
      <w:r>
        <w:rPr>
          <w:i/>
        </w:rPr>
        <w:t xml:space="preserve">Wide Area Network (WAN) feeder links: </w:t>
      </w:r>
    </w:p>
    <w:p w14:paraId="27092B76" w14:textId="77777777" w:rsidR="00B176A3" w:rsidRDefault="00B176A3" w:rsidP="00B176A3">
      <w:pPr>
        <w:numPr>
          <w:ilvl w:val="0"/>
          <w:numId w:val="26"/>
        </w:numPr>
      </w:pPr>
      <w:r>
        <w:t>between a Remote Site and a Node Site</w:t>
      </w:r>
    </w:p>
    <w:p w14:paraId="25D5028B" w14:textId="77777777" w:rsidR="00B176A3" w:rsidRDefault="00B176A3" w:rsidP="00B176A3">
      <w:pPr>
        <w:numPr>
          <w:ilvl w:val="0"/>
          <w:numId w:val="26"/>
        </w:numPr>
      </w:pPr>
      <w:r>
        <w:t>between a Technical Operation Personnel Site and a Node Site</w:t>
      </w:r>
    </w:p>
    <w:p w14:paraId="77CF5C91" w14:textId="77777777" w:rsidR="00B176A3" w:rsidRDefault="00B176A3" w:rsidP="00B176A3">
      <w:pPr>
        <w:numPr>
          <w:ilvl w:val="0"/>
          <w:numId w:val="26"/>
        </w:numPr>
      </w:pPr>
      <w:r>
        <w:t>between a Technical Development Personnel Site and a Node Site</w:t>
      </w:r>
    </w:p>
    <w:p w14:paraId="691F3137" w14:textId="77777777" w:rsidR="00B176A3" w:rsidRDefault="00B176A3" w:rsidP="00B176A3">
      <w:pPr>
        <w:numPr>
          <w:ilvl w:val="0"/>
          <w:numId w:val="26"/>
        </w:numPr>
      </w:pPr>
      <w:r>
        <w:t>between a User Site and a Node Site</w:t>
      </w:r>
    </w:p>
    <w:p w14:paraId="6CB005A3" w14:textId="77777777" w:rsidR="00B176A3" w:rsidRDefault="00B176A3" w:rsidP="00B176A3">
      <w:pPr>
        <w:numPr>
          <w:ilvl w:val="0"/>
          <w:numId w:val="25"/>
        </w:numPr>
      </w:pPr>
      <w:r>
        <w:rPr>
          <w:i/>
        </w:rPr>
        <w:t>Coastal WAN-Backbone links:</w:t>
      </w:r>
      <w:r>
        <w:t xml:space="preserve"> between </w:t>
      </w:r>
      <w:proofErr w:type="gramStart"/>
      <w:r>
        <w:t>Node</w:t>
      </w:r>
      <w:proofErr w:type="gramEnd"/>
      <w:r>
        <w:t xml:space="preserve"> Sites exclusively.</w:t>
      </w:r>
    </w:p>
    <w:p w14:paraId="37D52551" w14:textId="77777777" w:rsidR="00B176A3" w:rsidRDefault="00B176A3" w:rsidP="00B176A3"/>
    <w:p w14:paraId="07056BDF" w14:textId="77777777" w:rsidR="00B176A3" w:rsidRDefault="00B176A3" w:rsidP="00B176A3">
      <w:r>
        <w:t xml:space="preserve">These functional shore-based data transfer connections between functional sites should be construed as the topology-dependent requirements for the </w:t>
      </w:r>
      <w:r>
        <w:rPr>
          <w:i/>
          <w:u w:val="single"/>
        </w:rPr>
        <w:t>S</w:t>
      </w:r>
      <w:r>
        <w:rPr>
          <w:i/>
        </w:rPr>
        <w:t>hore-</w:t>
      </w:r>
      <w:r>
        <w:rPr>
          <w:i/>
          <w:u w:val="single"/>
        </w:rPr>
        <w:t>B</w:t>
      </w:r>
      <w:r>
        <w:rPr>
          <w:i/>
        </w:rPr>
        <w:t xml:space="preserve">ased Wide Area </w:t>
      </w:r>
      <w:r>
        <w:rPr>
          <w:i/>
          <w:u w:val="single"/>
        </w:rPr>
        <w:t>N</w:t>
      </w:r>
      <w:r>
        <w:rPr>
          <w:i/>
        </w:rPr>
        <w:t>etwork Service (SBN)</w:t>
      </w:r>
      <w:r>
        <w:t xml:space="preserve"> of the common shore-based e-Navigation system, which fulfils these requirements by providing physical connections. </w:t>
      </w:r>
    </w:p>
    <w:p w14:paraId="7607FC83" w14:textId="77777777" w:rsidR="00B176A3" w:rsidRDefault="00B176A3" w:rsidP="00B176A3">
      <w:pPr>
        <w:pStyle w:val="Heading3"/>
        <w:numPr>
          <w:ilvl w:val="2"/>
          <w:numId w:val="18"/>
        </w:numPr>
        <w:tabs>
          <w:tab w:val="clear" w:pos="851"/>
        </w:tabs>
        <w:spacing w:before="240" w:after="60"/>
      </w:pPr>
      <w:bookmarkStart w:id="15" w:name="_Toc395604427"/>
      <w:r>
        <w:t>Local-area data transfer network (LAN) considerations</w:t>
      </w:r>
      <w:bookmarkEnd w:id="15"/>
    </w:p>
    <w:p w14:paraId="2B6F17C4" w14:textId="77777777" w:rsidR="00B176A3" w:rsidRDefault="00B176A3" w:rsidP="00B176A3">
      <w:r>
        <w:t xml:space="preserve">Data transfer within components of the same functional site </w:t>
      </w:r>
      <w:r>
        <w:rPr>
          <w:i/>
        </w:rPr>
        <w:t>or</w:t>
      </w:r>
      <w:r>
        <w:t xml:space="preserve"> between different functional sites </w:t>
      </w:r>
      <w:r>
        <w:rPr>
          <w:i/>
        </w:rPr>
        <w:t>on the same premise</w:t>
      </w:r>
      <w:r>
        <w:t xml:space="preserve"> (i.e. different co-located functional sites) is done by local area data transfer network(s) (LAN). LAN(s) is/are treated as part of the infrastructure “owned” by the service under consideration at the site (so called service-owned infrastructure as opposed to on-site infrastructure, which may be shared with other co-located services).</w:t>
      </w:r>
    </w:p>
    <w:p w14:paraId="5FEF7C83" w14:textId="77777777" w:rsidR="00B176A3" w:rsidRDefault="00B176A3" w:rsidP="00B176A3">
      <w:pPr>
        <w:pStyle w:val="Heading2"/>
        <w:keepNext/>
        <w:numPr>
          <w:ilvl w:val="1"/>
          <w:numId w:val="18"/>
        </w:numPr>
        <w:spacing w:before="240" w:after="60"/>
      </w:pPr>
      <w:bookmarkStart w:id="16" w:name="_Toc395604428"/>
      <w:bookmarkStart w:id="17" w:name="_Toc206576503"/>
      <w:r>
        <w:t>Resulting distribution configurations for the common shore-based e-Navigation system</w:t>
      </w:r>
      <w:bookmarkEnd w:id="16"/>
    </w:p>
    <w:p w14:paraId="0188A448" w14:textId="77777777" w:rsidR="00B176A3" w:rsidRDefault="00B176A3" w:rsidP="00B176A3">
      <w:pPr>
        <w:rPr>
          <w:sz w:val="18"/>
          <w:szCs w:val="18"/>
        </w:rPr>
      </w:pPr>
      <w:r>
        <w:t>By correlation of the various services defined in the system layout of the common shore-based e-Navigation system layout (IALA Recommendation e-NAV 201 refers; [0.2]) with the above definitions of the functional sites, there can be derived a generic description of geographical topology influence on a service for all groups of services (compare following figure).</w:t>
      </w:r>
      <w:r>
        <w:rPr>
          <w:rFonts w:ascii="Times New Roman" w:hAnsi="Times New Roman"/>
          <w:sz w:val="24"/>
          <w:lang w:val="en-US"/>
        </w:rPr>
        <w:object w:dxaOrig="9585" w:dyaOrig="6930" w14:anchorId="4EB9265A">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79.25pt;height:346.5pt" o:ole="">
            <v:imagedata r:id="rId14" o:title=""/>
          </v:shape>
          <o:OLEObject Type="Embed" ProgID="Visio.Drawing.11" ShapeID="_x0000_i1025" DrawAspect="Content" ObjectID="_1472885066" r:id="rId15"/>
        </w:object>
      </w:r>
      <w:r>
        <w:rPr>
          <w:sz w:val="18"/>
          <w:szCs w:val="18"/>
        </w:rPr>
        <w:t>Note: The Technical Development Personnel Site(s) are not shown for simplicity’s sake. They are introduced in a similar way to the Technical Operation Personnel Site(s). Also, only sample functional connections between Technical Operation Personnel Sites and other sites are shown.</w:t>
      </w:r>
    </w:p>
    <w:p w14:paraId="721306D7" w14:textId="77777777" w:rsidR="00B176A3" w:rsidRDefault="00B176A3" w:rsidP="00B176A3">
      <w:pPr>
        <w:rPr>
          <w:sz w:val="24"/>
        </w:rPr>
      </w:pPr>
    </w:p>
    <w:p w14:paraId="5EFA5825" w14:textId="77777777" w:rsidR="00B176A3" w:rsidRDefault="00B176A3" w:rsidP="00B176A3">
      <w:pPr>
        <w:rPr>
          <w:b/>
          <w:u w:val="single"/>
        </w:rPr>
      </w:pPr>
      <w:r>
        <w:rPr>
          <w:b/>
          <w:u w:val="single"/>
        </w:rPr>
        <w:t>Figure A3.1:  Generic geographic distribution setup of a shore-based e-</w:t>
      </w:r>
      <w:proofErr w:type="spellStart"/>
      <w:r>
        <w:rPr>
          <w:b/>
          <w:u w:val="single"/>
        </w:rPr>
        <w:t>Nav</w:t>
      </w:r>
      <w:proofErr w:type="spellEnd"/>
      <w:r>
        <w:rPr>
          <w:b/>
          <w:u w:val="single"/>
        </w:rPr>
        <w:t xml:space="preserve"> system using the functional site definitions </w:t>
      </w:r>
    </w:p>
    <w:p w14:paraId="45147A5A" w14:textId="77777777" w:rsidR="00B176A3" w:rsidRDefault="00B176A3" w:rsidP="00B176A3">
      <w:pPr>
        <w:pStyle w:val="Heading1"/>
        <w:numPr>
          <w:ilvl w:val="0"/>
          <w:numId w:val="18"/>
        </w:numPr>
        <w:tabs>
          <w:tab w:val="num" w:pos="360"/>
        </w:tabs>
        <w:spacing w:after="60"/>
        <w:ind w:left="0" w:firstLine="0"/>
      </w:pPr>
      <w:r>
        <w:t>Generic Service Distribution Configurations</w:t>
      </w:r>
      <w:bookmarkEnd w:id="17"/>
    </w:p>
    <w:p w14:paraId="3DA6B2A6" w14:textId="77777777" w:rsidR="00B176A3" w:rsidRDefault="00B176A3" w:rsidP="00B176A3">
      <w:r>
        <w:t>Using the above functional site definitions, several Service Distribution Configurations can be defined:</w:t>
      </w:r>
    </w:p>
    <w:p w14:paraId="3F206FFC" w14:textId="77777777" w:rsidR="00B176A3" w:rsidRDefault="00B176A3" w:rsidP="00B176A3">
      <w:pPr>
        <w:numPr>
          <w:ilvl w:val="0"/>
          <w:numId w:val="24"/>
        </w:numPr>
      </w:pPr>
      <w:r>
        <w:t xml:space="preserve">the Multiple-Node Service Distribution Configuration </w:t>
      </w:r>
    </w:p>
    <w:p w14:paraId="5A74DCAE" w14:textId="77777777" w:rsidR="00B176A3" w:rsidRDefault="00B176A3" w:rsidP="00B176A3">
      <w:pPr>
        <w:numPr>
          <w:ilvl w:val="0"/>
          <w:numId w:val="24"/>
        </w:numPr>
      </w:pPr>
      <w:r>
        <w:t xml:space="preserve">the One-Node Service Distribution Configuration </w:t>
      </w:r>
    </w:p>
    <w:p w14:paraId="5042D9A6" w14:textId="77777777" w:rsidR="00B176A3" w:rsidRDefault="00B176A3" w:rsidP="00B176A3">
      <w:pPr>
        <w:numPr>
          <w:ilvl w:val="0"/>
          <w:numId w:val="24"/>
        </w:numPr>
      </w:pPr>
      <w:r>
        <w:t>the One-Spot Service Distribution Configuration</w:t>
      </w:r>
    </w:p>
    <w:p w14:paraId="2FA4985C" w14:textId="77777777" w:rsidR="00B176A3" w:rsidRDefault="00B176A3" w:rsidP="00B176A3"/>
    <w:p w14:paraId="5875E034" w14:textId="77777777" w:rsidR="00B176A3" w:rsidRDefault="00B176A3" w:rsidP="00B176A3">
      <w:r>
        <w:t>They are described in the following sections.</w:t>
      </w:r>
    </w:p>
    <w:p w14:paraId="3D27227A" w14:textId="77777777" w:rsidR="00B176A3" w:rsidRDefault="00B176A3" w:rsidP="00B176A3"/>
    <w:p w14:paraId="21627844" w14:textId="77777777" w:rsidR="00B176A3" w:rsidRDefault="00B176A3" w:rsidP="00B176A3">
      <w:r>
        <w:t xml:space="preserve">Note: There are </w:t>
      </w:r>
      <w:r>
        <w:rPr>
          <w:i/>
        </w:rPr>
        <w:t>no</w:t>
      </w:r>
      <w:r>
        <w:t xml:space="preserve"> other possible Service Distribution Configurations. Hence, the above list is exhaustive.</w:t>
      </w:r>
    </w:p>
    <w:p w14:paraId="59AC894A" w14:textId="77777777" w:rsidR="00B176A3" w:rsidRDefault="00B176A3" w:rsidP="00B176A3">
      <w:pPr>
        <w:pStyle w:val="Heading2"/>
        <w:keepNext/>
        <w:numPr>
          <w:ilvl w:val="1"/>
          <w:numId w:val="18"/>
        </w:numPr>
        <w:tabs>
          <w:tab w:val="clear" w:pos="576"/>
          <w:tab w:val="num" w:pos="792"/>
        </w:tabs>
        <w:spacing w:before="240" w:after="60"/>
        <w:ind w:left="792" w:hanging="792"/>
      </w:pPr>
      <w:bookmarkStart w:id="18" w:name="_Toc206576504"/>
      <w:bookmarkStart w:id="19" w:name="_Toc395604429"/>
      <w:r>
        <w:t>Multiple-Node Service Distribution Configuration</w:t>
      </w:r>
      <w:bookmarkEnd w:id="18"/>
      <w:bookmarkEnd w:id="19"/>
    </w:p>
    <w:p w14:paraId="4B1BCBC0" w14:textId="77777777" w:rsidR="00B176A3" w:rsidRDefault="00B176A3" w:rsidP="00B176A3">
      <w:r>
        <w:t xml:space="preserve">The Multiple-Node Service Distribution Configuration is characterized topologically by at least two Node sites and – in the case of a service with a Physical Layer - some Remote Sites. All Remote Shore Stations (RSS) of the service under consideration residing at the Remote Sites are connected to the Node Sites populated by the service under consideration by using WAN feeder links (multiple star configuration). In addition </w:t>
      </w:r>
      <w:r>
        <w:rPr>
          <w:i/>
        </w:rPr>
        <w:t>all</w:t>
      </w:r>
      <w:r>
        <w:t xml:space="preserve"> Node Sites populated by the service under consideration are connected by WAN backbone links. This is necessary e. g. for master control of the service under consideration and for data replication. It is recommended that all Node Sites populated by the service under consideration are connected with all other Nodes Sites populated by the service. </w:t>
      </w:r>
    </w:p>
    <w:p w14:paraId="046465DC" w14:textId="77777777" w:rsidR="00B176A3" w:rsidRDefault="00B176A3" w:rsidP="00B176A3">
      <w:pPr>
        <w:rPr>
          <w:highlight w:val="yellow"/>
        </w:rPr>
      </w:pPr>
    </w:p>
    <w:p w14:paraId="1AA46BFC" w14:textId="77777777" w:rsidR="00B176A3" w:rsidRDefault="00B176A3" w:rsidP="00B176A3">
      <w:r>
        <w:t>Typically, even in geographically large Multiple-Node Service Distribution Configurations there are only two or three Node Sites populated or required. The following figure shows one typical configuration with three Node Sites populated by the service under consideration.</w:t>
      </w:r>
    </w:p>
    <w:p w14:paraId="30CF6BD4" w14:textId="77777777" w:rsidR="00B176A3" w:rsidRDefault="00B176A3" w:rsidP="00B176A3">
      <w:pPr>
        <w:rPr>
          <w:highlight w:val="yellow"/>
        </w:rPr>
        <w:sectPr w:rsidR="00B176A3">
          <w:headerReference w:type="default" r:id="rId16"/>
          <w:pgSz w:w="11906" w:h="16838"/>
          <w:pgMar w:top="1418" w:right="1418" w:bottom="1134" w:left="1418" w:header="709" w:footer="709" w:gutter="0"/>
          <w:cols w:space="720"/>
        </w:sectPr>
      </w:pPr>
    </w:p>
    <w:p w14:paraId="20687038" w14:textId="77777777" w:rsidR="00B176A3" w:rsidRDefault="00B176A3" w:rsidP="00B176A3">
      <w:pPr>
        <w:rPr>
          <w:highlight w:val="yellow"/>
        </w:rPr>
      </w:pPr>
    </w:p>
    <w:p w14:paraId="61A5E3C4" w14:textId="77777777" w:rsidR="00B176A3" w:rsidRDefault="00B176A3" w:rsidP="00B176A3">
      <w:pPr>
        <w:rPr>
          <w:highlight w:val="yellow"/>
        </w:rPr>
      </w:pPr>
    </w:p>
    <w:p w14:paraId="341FC4B9" w14:textId="77777777" w:rsidR="00B176A3" w:rsidRDefault="00B176A3" w:rsidP="00B176A3">
      <w:r>
        <w:rPr>
          <w:rFonts w:ascii="Times New Roman" w:hAnsi="Times New Roman"/>
          <w:sz w:val="24"/>
          <w:lang w:val="en-US"/>
        </w:rPr>
        <w:object w:dxaOrig="14670" w:dyaOrig="8100" w14:anchorId="30012C41">
          <v:shape id="_x0000_i1026" type="#_x0000_t75" style="width:733.5pt;height:405pt" o:ole="">
            <v:imagedata r:id="rId17" o:title=""/>
          </v:shape>
          <o:OLEObject Type="Embed" ProgID="Visio.Drawing.11" ShapeID="_x0000_i1026" DrawAspect="Content" ObjectID="_1472885067" r:id="rId18"/>
        </w:object>
      </w:r>
      <w:r>
        <w:rPr>
          <w:b/>
          <w:u w:val="single"/>
        </w:rPr>
        <w:t>Figure A3.2: Multiple-Node Service Distribution Configuration</w:t>
      </w:r>
      <w:r>
        <w:rPr>
          <w:b/>
        </w:rPr>
        <w:t xml:space="preserve"> </w:t>
      </w:r>
    </w:p>
    <w:p w14:paraId="41CAC3F9" w14:textId="77777777" w:rsidR="00B176A3" w:rsidRDefault="00B176A3" w:rsidP="00B176A3">
      <w:pPr>
        <w:rPr>
          <w:highlight w:val="yellow"/>
        </w:rPr>
        <w:sectPr w:rsidR="00B176A3">
          <w:pgSz w:w="16838" w:h="11906" w:orient="landscape"/>
          <w:pgMar w:top="1418" w:right="1418" w:bottom="1418" w:left="1134" w:header="709" w:footer="709" w:gutter="0"/>
          <w:cols w:space="720"/>
        </w:sectPr>
      </w:pPr>
    </w:p>
    <w:p w14:paraId="1ACD0E56" w14:textId="77777777" w:rsidR="00B176A3" w:rsidRDefault="00B176A3" w:rsidP="00B176A3">
      <w:r>
        <w:lastRenderedPageBreak/>
        <w:t>Features of the Multiple-Node Service Distribution Configuration are:</w:t>
      </w:r>
    </w:p>
    <w:p w14:paraId="47ABBBC7" w14:textId="77777777" w:rsidR="00B176A3" w:rsidRDefault="00B176A3" w:rsidP="00B176A3">
      <w:pPr>
        <w:numPr>
          <w:ilvl w:val="0"/>
          <w:numId w:val="27"/>
        </w:numPr>
      </w:pPr>
      <w:r>
        <w:rPr>
          <w:i/>
        </w:rPr>
        <w:t>Coverage Area:</w:t>
      </w:r>
      <w:r>
        <w:t xml:space="preserve"> The Multiple-Node Service Distribution Configuration supports a </w:t>
      </w:r>
      <w:r>
        <w:rPr>
          <w:i/>
        </w:rPr>
        <w:t>large</w:t>
      </w:r>
      <w:r>
        <w:t xml:space="preserve"> number of RSS providing a </w:t>
      </w:r>
      <w:r>
        <w:rPr>
          <w:i/>
        </w:rPr>
        <w:t>very large</w:t>
      </w:r>
      <w:r>
        <w:t xml:space="preserve"> coverage area of the service. Also, physical link-specific redundancy and mitigation of unwanted effects become possible for services with Physical Layer due to dual or </w:t>
      </w:r>
      <w:proofErr w:type="gramStart"/>
      <w:r>
        <w:t>multiple coverage</w:t>
      </w:r>
      <w:proofErr w:type="gramEnd"/>
      <w:r>
        <w:t xml:space="preserve">. </w:t>
      </w:r>
    </w:p>
    <w:p w14:paraId="224FA686" w14:textId="77777777" w:rsidR="00B176A3" w:rsidRDefault="00B176A3" w:rsidP="00B176A3"/>
    <w:p w14:paraId="64B4255D" w14:textId="77777777" w:rsidR="00B176A3" w:rsidRDefault="00B176A3" w:rsidP="00B176A3">
      <w:pPr>
        <w:numPr>
          <w:ilvl w:val="0"/>
          <w:numId w:val="27"/>
        </w:numPr>
      </w:pPr>
      <w:r>
        <w:rPr>
          <w:i/>
        </w:rPr>
        <w:t xml:space="preserve">Integration aspects: </w:t>
      </w:r>
      <w:r>
        <w:t>Simplest integration into shore-based e-Navigation system architectures: just one connection between service under consideration and other e-Navigation services required, which may reside at the very same Node.</w:t>
      </w:r>
    </w:p>
    <w:p w14:paraId="6E0A53F3" w14:textId="77777777" w:rsidR="00B176A3" w:rsidRDefault="00B176A3" w:rsidP="00B176A3"/>
    <w:p w14:paraId="1D437216" w14:textId="77777777" w:rsidR="00B176A3" w:rsidRDefault="00B176A3" w:rsidP="00B176A3">
      <w:pPr>
        <w:numPr>
          <w:ilvl w:val="0"/>
          <w:numId w:val="27"/>
        </w:numPr>
      </w:pPr>
      <w:r>
        <w:rPr>
          <w:i/>
        </w:rPr>
        <w:t>Receive- and Transmit-Configuration Setup:</w:t>
      </w:r>
      <w:r>
        <w:t xml:space="preserve"> receive/transmit functionalities distribution to different Remote Shore Stations possible </w:t>
      </w:r>
    </w:p>
    <w:p w14:paraId="3F7C838B" w14:textId="77777777" w:rsidR="00B176A3" w:rsidRDefault="00B176A3" w:rsidP="00B176A3"/>
    <w:p w14:paraId="26CF4543" w14:textId="77777777" w:rsidR="00B176A3" w:rsidRDefault="00B176A3" w:rsidP="00B176A3">
      <w:pPr>
        <w:numPr>
          <w:ilvl w:val="0"/>
          <w:numId w:val="27"/>
        </w:numPr>
      </w:pPr>
      <w:r>
        <w:rPr>
          <w:i/>
        </w:rPr>
        <w:t xml:space="preserve">Site-infrastructure requirements: </w:t>
      </w:r>
      <w:r>
        <w:t>several Node site and several Remote Sites need to be equipped and maintained.</w:t>
      </w:r>
    </w:p>
    <w:p w14:paraId="78A0E60A" w14:textId="77777777" w:rsidR="00B176A3" w:rsidRDefault="00B176A3" w:rsidP="00B176A3"/>
    <w:p w14:paraId="4FA61182" w14:textId="77777777" w:rsidR="00B176A3" w:rsidRDefault="00B176A3" w:rsidP="00B176A3">
      <w:pPr>
        <w:numPr>
          <w:ilvl w:val="0"/>
          <w:numId w:val="27"/>
        </w:numPr>
      </w:pPr>
      <w:r>
        <w:rPr>
          <w:i/>
        </w:rPr>
        <w:t>Bearing on data transfer requirements:</w:t>
      </w:r>
      <w:r>
        <w:t xml:space="preserve"> The data transfer network consists of Local Area Network(s) (LAN) at each of the sites populated and several functional connection (WAN feeder link) networks generally with star-configurations; there may be priority and </w:t>
      </w:r>
      <w:proofErr w:type="spellStart"/>
      <w:r>
        <w:t>fallback</w:t>
      </w:r>
      <w:proofErr w:type="spellEnd"/>
      <w:r>
        <w:t>-arrangements regarding the Node site, to which a Remote Shore Station (RSS) is assigned on a primary and on a secondary level; in addition a network of functional connections between Node sites (WAN backbone links) is required.</w:t>
      </w:r>
    </w:p>
    <w:p w14:paraId="30FA7614" w14:textId="77777777" w:rsidR="00B176A3" w:rsidRDefault="00B176A3" w:rsidP="00B176A3"/>
    <w:p w14:paraId="1390AC8B" w14:textId="77777777" w:rsidR="00B176A3" w:rsidRDefault="00B176A3" w:rsidP="00B176A3">
      <w:pPr>
        <w:numPr>
          <w:ilvl w:val="0"/>
          <w:numId w:val="27"/>
        </w:numPr>
      </w:pPr>
      <w:r>
        <w:rPr>
          <w:i/>
        </w:rPr>
        <w:t xml:space="preserve">Node geographical redundancy: </w:t>
      </w:r>
      <w:r>
        <w:t>Node site redundancy provided functionality and capacity design has taken into account a run-time switch-over of functionality between Node sites: Hence, the Multiple-Node Service Distribution Configuration mitigates the risk of complete failure of the service under consideration, if and when the premises where the Node site resides should be completely unavailable, e.g. by a major catastrophic event. Thereby, the Multiple-Node Service Distribution Configuration also provides a better starting point for any recovery after disaster hitting one Node than any of the other Service Distribution Configurations.</w:t>
      </w:r>
    </w:p>
    <w:p w14:paraId="30380AB7" w14:textId="77777777" w:rsidR="00B176A3" w:rsidRDefault="00B176A3" w:rsidP="00B176A3"/>
    <w:p w14:paraId="70FFED7D" w14:textId="77777777" w:rsidR="00B176A3" w:rsidRDefault="00B176A3" w:rsidP="00B176A3"/>
    <w:p w14:paraId="2546BA8A" w14:textId="77777777" w:rsidR="00B176A3" w:rsidRDefault="00B176A3" w:rsidP="00B176A3">
      <w:pPr>
        <w:numPr>
          <w:ilvl w:val="0"/>
          <w:numId w:val="27"/>
        </w:numPr>
      </w:pPr>
      <w:r>
        <w:rPr>
          <w:i/>
        </w:rPr>
        <w:t>Organizational aspects:</w:t>
      </w:r>
      <w:r>
        <w:t xml:space="preserve"> Multiple Nodes in multiple regions may support regional organizational structures of an administration; this may be particularly relevant when the administration already has existing distributed Technical Operation Personnel sites in place.</w:t>
      </w:r>
    </w:p>
    <w:p w14:paraId="256F09CA" w14:textId="77777777" w:rsidR="00B176A3" w:rsidRDefault="00B176A3" w:rsidP="00B176A3">
      <w:pPr>
        <w:rPr>
          <w:highlight w:val="yellow"/>
        </w:rPr>
      </w:pPr>
    </w:p>
    <w:p w14:paraId="2FD75311" w14:textId="77777777" w:rsidR="00B176A3" w:rsidRDefault="00B176A3" w:rsidP="00B176A3">
      <w:r>
        <w:t xml:space="preserve">The Multiple-Node Service Distribution Configuration would best serve administrations, </w:t>
      </w:r>
    </w:p>
    <w:p w14:paraId="729A6DFE" w14:textId="77777777" w:rsidR="00B176A3" w:rsidRDefault="00B176A3" w:rsidP="00B176A3">
      <w:pPr>
        <w:numPr>
          <w:ilvl w:val="0"/>
          <w:numId w:val="27"/>
        </w:numPr>
        <w:rPr>
          <w:i/>
        </w:rPr>
      </w:pPr>
      <w:r>
        <w:t xml:space="preserve">whose area of responsibility and/or interest is </w:t>
      </w:r>
      <w:r>
        <w:rPr>
          <w:i/>
        </w:rPr>
        <w:t xml:space="preserve">geographical large </w:t>
      </w:r>
      <w:r>
        <w:t>and/or</w:t>
      </w:r>
    </w:p>
    <w:p w14:paraId="297A99AB" w14:textId="77777777" w:rsidR="00B176A3" w:rsidRDefault="00B176A3" w:rsidP="00B176A3">
      <w:pPr>
        <w:numPr>
          <w:ilvl w:val="0"/>
          <w:numId w:val="27"/>
        </w:numPr>
      </w:pPr>
      <w:r>
        <w:t>where</w:t>
      </w:r>
      <w:r>
        <w:rPr>
          <w:i/>
        </w:rPr>
        <w:t xml:space="preserve"> a concave coastal topology would require more than one Node anyway</w:t>
      </w:r>
      <w:r>
        <w:t>, in particular when considering costs associated to the WAN feeder links as opposed to the costs associated with WAN backbone links – this is particularly relevant for a service with a Physical Layer –, and/or</w:t>
      </w:r>
    </w:p>
    <w:p w14:paraId="5F65FA47" w14:textId="77777777" w:rsidR="00B176A3" w:rsidRDefault="00B176A3" w:rsidP="00B176A3">
      <w:pPr>
        <w:numPr>
          <w:ilvl w:val="0"/>
          <w:numId w:val="27"/>
        </w:numPr>
      </w:pPr>
      <w:proofErr w:type="gramStart"/>
      <w:r>
        <w:t>where</w:t>
      </w:r>
      <w:proofErr w:type="gramEnd"/>
      <w:r>
        <w:t xml:space="preserve"> </w:t>
      </w:r>
      <w:r>
        <w:rPr>
          <w:i/>
        </w:rPr>
        <w:t xml:space="preserve">centralization of all geographically volatile functionality into one Node is not desirable </w:t>
      </w:r>
      <w:r>
        <w:t>due to redundancy reasons, regardless of the additional costs associated with this redundancy.</w:t>
      </w:r>
    </w:p>
    <w:p w14:paraId="663F68BB" w14:textId="77777777" w:rsidR="00B176A3" w:rsidRDefault="00B176A3" w:rsidP="00B176A3">
      <w:pPr>
        <w:rPr>
          <w:highlight w:val="yellow"/>
        </w:rPr>
      </w:pPr>
    </w:p>
    <w:p w14:paraId="29A1C033" w14:textId="77777777" w:rsidR="00B176A3" w:rsidRDefault="00B176A3" w:rsidP="00B176A3">
      <w:r>
        <w:t>Cautionary note:</w:t>
      </w:r>
    </w:p>
    <w:p w14:paraId="3D573E71" w14:textId="77777777" w:rsidR="00B176A3" w:rsidRDefault="00B176A3" w:rsidP="00B176A3">
      <w:pPr>
        <w:numPr>
          <w:ilvl w:val="0"/>
          <w:numId w:val="28"/>
        </w:numPr>
      </w:pPr>
      <w:r>
        <w:t xml:space="preserve">For redundancy reasons, in the Multiple-Node distribution model there is the option to duplicate the </w:t>
      </w:r>
      <w:r>
        <w:rPr>
          <w:i/>
        </w:rPr>
        <w:t>Service Management Master functionality</w:t>
      </w:r>
      <w:r>
        <w:t xml:space="preserve"> to two (or even more) Nodes. In this case, however, only one SM Master </w:t>
      </w:r>
      <w:proofErr w:type="gramStart"/>
      <w:r>
        <w:t>functionality</w:t>
      </w:r>
      <w:proofErr w:type="gramEnd"/>
      <w:r>
        <w:t xml:space="preserve"> must be active at any point in time.</w:t>
      </w:r>
    </w:p>
    <w:p w14:paraId="57034DB1" w14:textId="77777777" w:rsidR="00B176A3" w:rsidRDefault="00B176A3" w:rsidP="00B176A3">
      <w:pPr>
        <w:pStyle w:val="Heading2"/>
        <w:keepNext/>
        <w:numPr>
          <w:ilvl w:val="1"/>
          <w:numId w:val="18"/>
        </w:numPr>
        <w:tabs>
          <w:tab w:val="clear" w:pos="576"/>
          <w:tab w:val="num" w:pos="792"/>
        </w:tabs>
        <w:spacing w:before="240" w:after="60"/>
        <w:ind w:left="792" w:hanging="792"/>
      </w:pPr>
      <w:bookmarkStart w:id="20" w:name="_Toc206576505"/>
      <w:bookmarkStart w:id="21" w:name="_Toc395604430"/>
      <w:r>
        <w:t>One-Node Service Distribution Configuration</w:t>
      </w:r>
      <w:bookmarkEnd w:id="20"/>
      <w:bookmarkEnd w:id="21"/>
      <w:r>
        <w:t xml:space="preserve"> </w:t>
      </w:r>
    </w:p>
    <w:p w14:paraId="34C85492" w14:textId="77777777" w:rsidR="00B176A3" w:rsidRDefault="00B176A3" w:rsidP="00B176A3">
      <w:r>
        <w:t xml:space="preserve">The One-Node Service Distribution Configuration is characterized topologically by one Node site and at least one Remote Site, generally more than one Remote Sites. All Remote Shore </w:t>
      </w:r>
      <w:r>
        <w:lastRenderedPageBreak/>
        <w:t xml:space="preserve">Stations (RSS) of the service under consideration residing at the Remote Sites are connected to the one Node by WAN feeder links (star configuration). </w:t>
      </w:r>
    </w:p>
    <w:p w14:paraId="046133A5" w14:textId="77777777" w:rsidR="00B176A3" w:rsidRDefault="00B176A3" w:rsidP="00B176A3">
      <w:pPr>
        <w:rPr>
          <w:highlight w:val="yellow"/>
        </w:rPr>
      </w:pPr>
    </w:p>
    <w:p w14:paraId="2006E2D0" w14:textId="77777777" w:rsidR="00B176A3" w:rsidRDefault="00B176A3" w:rsidP="00B176A3">
      <w:r>
        <w:t>The following figure shows this configuration.</w:t>
      </w:r>
    </w:p>
    <w:p w14:paraId="4337FCEF" w14:textId="77777777" w:rsidR="00B176A3" w:rsidRDefault="00B176A3" w:rsidP="00B176A3"/>
    <w:p w14:paraId="55EF3F94" w14:textId="77777777" w:rsidR="00B176A3" w:rsidRDefault="00B176A3" w:rsidP="00B176A3">
      <w:pPr>
        <w:rPr>
          <w:b/>
        </w:rPr>
      </w:pPr>
      <w:r>
        <w:rPr>
          <w:rFonts w:ascii="Times New Roman" w:hAnsi="Times New Roman"/>
          <w:sz w:val="24"/>
          <w:lang w:val="en-US"/>
        </w:rPr>
        <w:object w:dxaOrig="9075" w:dyaOrig="6945" w14:anchorId="380B801F">
          <v:shape id="_x0000_i1027" type="#_x0000_t75" style="width:453.75pt;height:347.25pt" o:ole="">
            <v:imagedata r:id="rId19" o:title=""/>
          </v:shape>
          <o:OLEObject Type="Embed" ProgID="Visio.Drawing.11" ShapeID="_x0000_i1027" DrawAspect="Content" ObjectID="_1472885068" r:id="rId20"/>
        </w:object>
      </w:r>
      <w:r>
        <w:rPr>
          <w:b/>
          <w:u w:val="single"/>
        </w:rPr>
        <w:t>Figure A3.3: One-Node Service Distribution Configuration</w:t>
      </w:r>
      <w:r>
        <w:rPr>
          <w:b/>
        </w:rPr>
        <w:t xml:space="preserve"> </w:t>
      </w:r>
    </w:p>
    <w:p w14:paraId="5666FA0A" w14:textId="77777777" w:rsidR="00B176A3" w:rsidRDefault="00B176A3" w:rsidP="00B176A3">
      <w:pPr>
        <w:rPr>
          <w:highlight w:val="yellow"/>
        </w:rPr>
      </w:pPr>
    </w:p>
    <w:p w14:paraId="47933357" w14:textId="77777777" w:rsidR="00B176A3" w:rsidRDefault="00B176A3" w:rsidP="00B176A3">
      <w:r>
        <w:t>Features of the One-Node Service Distribution Configuration are:</w:t>
      </w:r>
    </w:p>
    <w:p w14:paraId="7525650C" w14:textId="77777777" w:rsidR="00B176A3" w:rsidRDefault="00B176A3" w:rsidP="00B176A3">
      <w:pPr>
        <w:numPr>
          <w:ilvl w:val="0"/>
          <w:numId w:val="27"/>
        </w:numPr>
      </w:pPr>
      <w:r>
        <w:rPr>
          <w:i/>
        </w:rPr>
        <w:t>Coverage area:</w:t>
      </w:r>
      <w:r>
        <w:t xml:space="preserve"> The One-Node Service Distribution Configuration supports a </w:t>
      </w:r>
      <w:r>
        <w:rPr>
          <w:i/>
        </w:rPr>
        <w:t>limited</w:t>
      </w:r>
      <w:r>
        <w:t xml:space="preserve"> number of RSS. Physical link-specific redundancy and mitigation of unwanted effects become possible for services with Physical Layer due to dual or </w:t>
      </w:r>
      <w:proofErr w:type="gramStart"/>
      <w:r>
        <w:t>multiple coverage</w:t>
      </w:r>
      <w:proofErr w:type="gramEnd"/>
      <w:r>
        <w:t xml:space="preserve">. </w:t>
      </w:r>
    </w:p>
    <w:p w14:paraId="36A27266" w14:textId="77777777" w:rsidR="00B176A3" w:rsidRDefault="00B176A3" w:rsidP="00B176A3"/>
    <w:p w14:paraId="110B8242" w14:textId="77777777" w:rsidR="00B176A3" w:rsidRDefault="00B176A3" w:rsidP="00B176A3">
      <w:pPr>
        <w:numPr>
          <w:ilvl w:val="0"/>
          <w:numId w:val="27"/>
        </w:numPr>
      </w:pPr>
      <w:r>
        <w:rPr>
          <w:i/>
        </w:rPr>
        <w:t xml:space="preserve">Integration aspects: </w:t>
      </w:r>
      <w:r>
        <w:t>Simplest integration into shore-based e-Navigation system architectures: just one connection between service under consideration and other e-Navigation services required, which also resides at the same Node.</w:t>
      </w:r>
    </w:p>
    <w:p w14:paraId="0190D13B" w14:textId="77777777" w:rsidR="00B176A3" w:rsidRDefault="00B176A3" w:rsidP="00B176A3"/>
    <w:p w14:paraId="2BB78134" w14:textId="77777777" w:rsidR="00B176A3" w:rsidRDefault="00B176A3" w:rsidP="00B176A3">
      <w:pPr>
        <w:numPr>
          <w:ilvl w:val="0"/>
          <w:numId w:val="27"/>
        </w:numPr>
      </w:pPr>
      <w:r>
        <w:rPr>
          <w:i/>
        </w:rPr>
        <w:t>Receive- and Transmit-Configuration Setup:</w:t>
      </w:r>
      <w:r>
        <w:t xml:space="preserve"> receive/transmit functionalities distribution to different Remote Shore Stations possible (relevant for services with Physical Layer only)</w:t>
      </w:r>
    </w:p>
    <w:p w14:paraId="39E46748" w14:textId="77777777" w:rsidR="00B176A3" w:rsidRDefault="00B176A3" w:rsidP="00B176A3"/>
    <w:p w14:paraId="0A5B0DC3" w14:textId="77777777" w:rsidR="00B176A3" w:rsidRDefault="00B176A3" w:rsidP="00B176A3">
      <w:pPr>
        <w:numPr>
          <w:ilvl w:val="0"/>
          <w:numId w:val="27"/>
        </w:numPr>
      </w:pPr>
      <w:r>
        <w:rPr>
          <w:i/>
        </w:rPr>
        <w:t xml:space="preserve">Site-infrastructure requirements: </w:t>
      </w:r>
      <w:r>
        <w:t>one Node site and several Remote Sites need to be equipped and maintained.</w:t>
      </w:r>
    </w:p>
    <w:p w14:paraId="622BB07A" w14:textId="77777777" w:rsidR="00B176A3" w:rsidRDefault="00B176A3" w:rsidP="00B176A3"/>
    <w:p w14:paraId="411E32D4" w14:textId="77777777" w:rsidR="00B176A3" w:rsidRDefault="00B176A3" w:rsidP="00B176A3">
      <w:pPr>
        <w:numPr>
          <w:ilvl w:val="0"/>
          <w:numId w:val="27"/>
        </w:numPr>
      </w:pPr>
      <w:r>
        <w:rPr>
          <w:i/>
        </w:rPr>
        <w:t>Bearing on data transfer requirements:</w:t>
      </w:r>
      <w:r>
        <w:t xml:space="preserve"> The data transfer network consists of Local Area Network(s) (LAN) at each of the sites populated and a functional connection (WAN feeder link) network with a star-configuration.</w:t>
      </w:r>
    </w:p>
    <w:p w14:paraId="3E90C82E" w14:textId="77777777" w:rsidR="00B176A3" w:rsidRDefault="00B176A3" w:rsidP="00B176A3"/>
    <w:p w14:paraId="535C6C65" w14:textId="77777777" w:rsidR="00B176A3" w:rsidRDefault="00B176A3" w:rsidP="00B176A3">
      <w:pPr>
        <w:numPr>
          <w:ilvl w:val="0"/>
          <w:numId w:val="27"/>
        </w:numPr>
      </w:pPr>
      <w:r>
        <w:rPr>
          <w:i/>
        </w:rPr>
        <w:t xml:space="preserve">Node geographical redundancy: </w:t>
      </w:r>
      <w:r>
        <w:t xml:space="preserve">to have only one Node site constitutes a risk for the operation of the whole of the service under consideration if and when the premises where the Node site resides should be completely unavailable, e.g. by a major catastrophic </w:t>
      </w:r>
      <w:r>
        <w:lastRenderedPageBreak/>
        <w:t>event. This missing geographical redundancy is the most important argument to prefer a Multiple-Node Service Distribution Configuration (see above).</w:t>
      </w:r>
    </w:p>
    <w:p w14:paraId="1BB736CF" w14:textId="77777777" w:rsidR="00B176A3" w:rsidRDefault="00B176A3" w:rsidP="00B176A3"/>
    <w:p w14:paraId="5EBE6E0D" w14:textId="77777777" w:rsidR="00B176A3" w:rsidRDefault="00B176A3" w:rsidP="00B176A3">
      <w:pPr>
        <w:numPr>
          <w:ilvl w:val="0"/>
          <w:numId w:val="27"/>
        </w:numPr>
      </w:pPr>
      <w:r>
        <w:rPr>
          <w:i/>
        </w:rPr>
        <w:t>Organizational aspects:</w:t>
      </w:r>
      <w:r>
        <w:t xml:space="preserve"> one Node may support centralized organizational structures of an administration; this may be particularly relevant when the administration already has existing centralized Technical Operation Personnel sites in place.</w:t>
      </w:r>
    </w:p>
    <w:p w14:paraId="4A90D42B" w14:textId="77777777" w:rsidR="00B176A3" w:rsidRDefault="00B176A3" w:rsidP="00B176A3"/>
    <w:p w14:paraId="31286198" w14:textId="77777777" w:rsidR="00B176A3" w:rsidRDefault="00B176A3" w:rsidP="00B176A3">
      <w:r>
        <w:t xml:space="preserve">The One-Node Service Distribution Configuration would best serve administrations, </w:t>
      </w:r>
    </w:p>
    <w:p w14:paraId="7534D43D" w14:textId="77777777" w:rsidR="00B176A3" w:rsidRDefault="00B176A3" w:rsidP="00B176A3">
      <w:pPr>
        <w:numPr>
          <w:ilvl w:val="0"/>
          <w:numId w:val="27"/>
        </w:numPr>
        <w:rPr>
          <w:i/>
        </w:rPr>
      </w:pPr>
      <w:r>
        <w:t xml:space="preserve">whose area of responsibility and/or interest is </w:t>
      </w:r>
      <w:r>
        <w:rPr>
          <w:i/>
        </w:rPr>
        <w:t xml:space="preserve">confined to a limited geographical area </w:t>
      </w:r>
      <w:r>
        <w:t>or</w:t>
      </w:r>
    </w:p>
    <w:p w14:paraId="06BF2811" w14:textId="77777777" w:rsidR="00B176A3" w:rsidRDefault="00B176A3" w:rsidP="00B176A3">
      <w:pPr>
        <w:numPr>
          <w:ilvl w:val="0"/>
          <w:numId w:val="27"/>
        </w:numPr>
      </w:pPr>
      <w:r>
        <w:t>where</w:t>
      </w:r>
      <w:r>
        <w:rPr>
          <w:i/>
        </w:rPr>
        <w:t xml:space="preserve"> a convex coastal topology renders the One-Node Service Distribution the most economically feasible solution</w:t>
      </w:r>
      <w:r>
        <w:t>, in particular when considering costs related to the WAN feeder links – this is particularly relevant for a service with a Physical Layer –, or</w:t>
      </w:r>
    </w:p>
    <w:p w14:paraId="6E70CA0C" w14:textId="77777777" w:rsidR="00B176A3" w:rsidRDefault="00B176A3" w:rsidP="00B176A3">
      <w:pPr>
        <w:numPr>
          <w:ilvl w:val="0"/>
          <w:numId w:val="27"/>
        </w:numPr>
      </w:pPr>
      <w:proofErr w:type="gramStart"/>
      <w:r>
        <w:t>where</w:t>
      </w:r>
      <w:proofErr w:type="gramEnd"/>
      <w:r>
        <w:t xml:space="preserve"> </w:t>
      </w:r>
      <w:r>
        <w:rPr>
          <w:i/>
        </w:rPr>
        <w:t>centralization of all geographically volatile functionality into one Node is desired</w:t>
      </w:r>
      <w:r>
        <w:t xml:space="preserve"> for whatever reason regardless of the coastal topology.</w:t>
      </w:r>
    </w:p>
    <w:p w14:paraId="78041F33" w14:textId="77777777" w:rsidR="00B176A3" w:rsidRDefault="00B176A3" w:rsidP="00B176A3">
      <w:pPr>
        <w:pStyle w:val="Heading2"/>
        <w:keepNext/>
        <w:numPr>
          <w:ilvl w:val="1"/>
          <w:numId w:val="18"/>
        </w:numPr>
        <w:tabs>
          <w:tab w:val="clear" w:pos="576"/>
          <w:tab w:val="num" w:pos="792"/>
        </w:tabs>
        <w:spacing w:before="240" w:after="60"/>
        <w:ind w:left="792" w:hanging="792"/>
      </w:pPr>
      <w:bookmarkStart w:id="22" w:name="_Toc206576506"/>
      <w:bookmarkStart w:id="23" w:name="_Toc395604431"/>
      <w:r>
        <w:t>One-Spot Service Distribution Configuration</w:t>
      </w:r>
      <w:bookmarkEnd w:id="22"/>
      <w:bookmarkEnd w:id="23"/>
    </w:p>
    <w:p w14:paraId="512DD67F" w14:textId="77777777" w:rsidR="00B176A3" w:rsidRDefault="00B176A3" w:rsidP="00B176A3">
      <w:r>
        <w:t xml:space="preserve">The One-Spot Service Distribution Configuration is the simplest service “distribution” configuration: The Remote Shore Station (for a service with Physical Layer), the functionalities of the Logical Layer and the functionalities of the Service Management are co-located on just </w:t>
      </w:r>
      <w:r>
        <w:rPr>
          <w:i/>
        </w:rPr>
        <w:t>one</w:t>
      </w:r>
      <w:r>
        <w:t xml:space="preserve"> premise. Hence, also all technical operation, maintenance and further development would be done at this one premise. </w:t>
      </w:r>
    </w:p>
    <w:p w14:paraId="668AA06C" w14:textId="77777777" w:rsidR="00B176A3" w:rsidRDefault="00B176A3" w:rsidP="00B176A3"/>
    <w:p w14:paraId="6F394AB7" w14:textId="77777777" w:rsidR="00B176A3" w:rsidRDefault="00B176A3" w:rsidP="00B176A3">
      <w:r>
        <w:t>The following figure shows this configuration.</w:t>
      </w:r>
    </w:p>
    <w:p w14:paraId="03F43583" w14:textId="77777777" w:rsidR="00B176A3" w:rsidRDefault="00B176A3" w:rsidP="00B176A3"/>
    <w:p w14:paraId="4AB58CC6" w14:textId="77777777" w:rsidR="00B176A3" w:rsidRDefault="00B176A3" w:rsidP="00B176A3">
      <w:r>
        <w:rPr>
          <w:rFonts w:ascii="Times New Roman" w:hAnsi="Times New Roman"/>
          <w:sz w:val="24"/>
          <w:lang w:val="en-US"/>
        </w:rPr>
        <w:object w:dxaOrig="5595" w:dyaOrig="3990" w14:anchorId="2C3EFC2E">
          <v:shape id="_x0000_i1028" type="#_x0000_t75" style="width:279.75pt;height:199.5pt" o:ole="">
            <v:imagedata r:id="rId21" o:title=""/>
          </v:shape>
          <o:OLEObject Type="Embed" ProgID="Visio.Drawing.11" ShapeID="_x0000_i1028" DrawAspect="Content" ObjectID="_1472885069" r:id="rId22"/>
        </w:object>
      </w:r>
    </w:p>
    <w:p w14:paraId="31E66BE3" w14:textId="77777777" w:rsidR="00B176A3" w:rsidRDefault="00B176A3" w:rsidP="00B176A3"/>
    <w:p w14:paraId="6FC5A2C7" w14:textId="77777777" w:rsidR="00B176A3" w:rsidRDefault="00B176A3" w:rsidP="00B176A3">
      <w:pPr>
        <w:rPr>
          <w:b/>
          <w:u w:val="single"/>
        </w:rPr>
      </w:pPr>
      <w:r>
        <w:rPr>
          <w:b/>
          <w:u w:val="single"/>
        </w:rPr>
        <w:t xml:space="preserve">Figure A3.4: One-Spot Service Distribution Configuration </w:t>
      </w:r>
    </w:p>
    <w:p w14:paraId="0C0298CB" w14:textId="77777777" w:rsidR="00B176A3" w:rsidRDefault="00B176A3" w:rsidP="00B176A3">
      <w:pPr>
        <w:rPr>
          <w:highlight w:val="yellow"/>
        </w:rPr>
      </w:pPr>
    </w:p>
    <w:p w14:paraId="5AAC57D2" w14:textId="77777777" w:rsidR="00B176A3" w:rsidRDefault="00B176A3" w:rsidP="00B176A3">
      <w:r>
        <w:t>Features of the One-Spot Service Distribution Configuration are:</w:t>
      </w:r>
    </w:p>
    <w:p w14:paraId="20B1F659" w14:textId="77777777" w:rsidR="00B176A3" w:rsidRDefault="00B176A3" w:rsidP="00B176A3">
      <w:pPr>
        <w:numPr>
          <w:ilvl w:val="0"/>
          <w:numId w:val="27"/>
        </w:numPr>
      </w:pPr>
      <w:r>
        <w:rPr>
          <w:i/>
        </w:rPr>
        <w:t>Site-infrastructure requirements:</w:t>
      </w:r>
      <w:r>
        <w:t xml:space="preserve"> one site needs to be equipped and maintained.</w:t>
      </w:r>
    </w:p>
    <w:p w14:paraId="66446CC0" w14:textId="77777777" w:rsidR="00B176A3" w:rsidRDefault="00B176A3" w:rsidP="00B176A3"/>
    <w:p w14:paraId="6A0CF955" w14:textId="77777777" w:rsidR="00B176A3" w:rsidRDefault="00B176A3" w:rsidP="00B176A3">
      <w:pPr>
        <w:numPr>
          <w:ilvl w:val="0"/>
          <w:numId w:val="27"/>
        </w:numPr>
      </w:pPr>
      <w:r>
        <w:rPr>
          <w:i/>
        </w:rPr>
        <w:t>Bearing on data transfer requirements:</w:t>
      </w:r>
      <w:r>
        <w:t xml:space="preserve"> The data transfer network is exclusively local.</w:t>
      </w:r>
    </w:p>
    <w:p w14:paraId="0EC62E30" w14:textId="77777777" w:rsidR="00B176A3" w:rsidRDefault="00B176A3" w:rsidP="00B176A3"/>
    <w:p w14:paraId="63E6A806" w14:textId="77777777" w:rsidR="00B176A3" w:rsidRDefault="00B176A3" w:rsidP="00B176A3">
      <w:pPr>
        <w:numPr>
          <w:ilvl w:val="0"/>
          <w:numId w:val="27"/>
        </w:numPr>
      </w:pPr>
      <w:r>
        <w:t xml:space="preserve">Minimum of components needed, i.e. it is possible to run software functionalities of the PSS (in case of a service with Physical Layer), LSS, and the SM in the same computer.  </w:t>
      </w:r>
    </w:p>
    <w:p w14:paraId="22C8DE0D" w14:textId="77777777" w:rsidR="00B176A3" w:rsidRDefault="00B176A3" w:rsidP="00B176A3"/>
    <w:p w14:paraId="0EFB5378" w14:textId="77777777" w:rsidR="00B176A3" w:rsidRDefault="00B176A3" w:rsidP="00B176A3">
      <w:pPr>
        <w:numPr>
          <w:ilvl w:val="0"/>
          <w:numId w:val="27"/>
        </w:numPr>
      </w:pPr>
      <w:r>
        <w:rPr>
          <w:i/>
        </w:rPr>
        <w:t>Integration aspects:</w:t>
      </w:r>
      <w:r>
        <w:t xml:space="preserve"> The whole shore-based e-Navigation system resides on the very same one spot. Just one local connection between service under consideration and other e-Navigation services required, which also resides at the same spot. Hence, “integration” is achieved by default.</w:t>
      </w:r>
    </w:p>
    <w:p w14:paraId="5ABDE5A7" w14:textId="77777777" w:rsidR="00B176A3" w:rsidRDefault="00B176A3" w:rsidP="00B176A3"/>
    <w:p w14:paraId="42202750" w14:textId="77777777" w:rsidR="00B176A3" w:rsidRDefault="00B176A3" w:rsidP="00B176A3">
      <w:pPr>
        <w:numPr>
          <w:ilvl w:val="0"/>
          <w:numId w:val="27"/>
        </w:numPr>
      </w:pPr>
      <w:r>
        <w:rPr>
          <w:i/>
        </w:rPr>
        <w:lastRenderedPageBreak/>
        <w:t xml:space="preserve">Coverage area: </w:t>
      </w:r>
      <w:r>
        <w:t xml:space="preserve">Limited coverage area depending on the physical properties of the on-site Remote Shore Station (RSS), in the case of a service with a Physical Layer; </w:t>
      </w:r>
    </w:p>
    <w:p w14:paraId="6690F443" w14:textId="77777777" w:rsidR="00B176A3" w:rsidRDefault="00B176A3" w:rsidP="00B176A3"/>
    <w:p w14:paraId="61F7A420" w14:textId="77777777" w:rsidR="00B176A3" w:rsidRDefault="00B176A3" w:rsidP="00B176A3">
      <w:pPr>
        <w:numPr>
          <w:ilvl w:val="0"/>
          <w:numId w:val="27"/>
        </w:numPr>
      </w:pPr>
      <w:r>
        <w:t xml:space="preserve">Limited technology-specific </w:t>
      </w:r>
      <w:r>
        <w:rPr>
          <w:i/>
        </w:rPr>
        <w:t>redundancy</w:t>
      </w:r>
      <w:r>
        <w:t xml:space="preserve"> (no dual coverage possible by definition) </w:t>
      </w:r>
    </w:p>
    <w:p w14:paraId="74604E24" w14:textId="77777777" w:rsidR="00B176A3" w:rsidRDefault="00B176A3" w:rsidP="00B176A3"/>
    <w:p w14:paraId="2DA2B836" w14:textId="77777777" w:rsidR="00B176A3" w:rsidRDefault="00B176A3" w:rsidP="00B176A3">
      <w:pPr>
        <w:numPr>
          <w:ilvl w:val="0"/>
          <w:numId w:val="27"/>
        </w:numPr>
      </w:pPr>
      <w:r>
        <w:rPr>
          <w:i/>
        </w:rPr>
        <w:t>Receive- and Transmit-Configuration Setup (for service with Physical Layer):</w:t>
      </w:r>
      <w:r>
        <w:t xml:space="preserve"> receive/transmit functionalities done on same site, which may impose limitations</w:t>
      </w:r>
    </w:p>
    <w:p w14:paraId="5681B021" w14:textId="77777777" w:rsidR="00B176A3" w:rsidRDefault="00B176A3" w:rsidP="00B176A3"/>
    <w:p w14:paraId="484ECAE3" w14:textId="77777777" w:rsidR="00B176A3" w:rsidRDefault="00B176A3" w:rsidP="00B176A3">
      <w:r>
        <w:t xml:space="preserve">The One-Spot Service Distribution Configuration would best serve administrations, whose area of responsibility and/or interest is </w:t>
      </w:r>
      <w:r>
        <w:rPr>
          <w:i/>
        </w:rPr>
        <w:t>confined to one geographical premise</w:t>
      </w:r>
      <w:r>
        <w:t xml:space="preserve">, only. As a further development potential, the same administration could set up </w:t>
      </w:r>
      <w:r>
        <w:rPr>
          <w:i/>
        </w:rPr>
        <w:t>several</w:t>
      </w:r>
      <w:r>
        <w:t xml:space="preserve"> independent services of the </w:t>
      </w:r>
      <w:r>
        <w:rPr>
          <w:i/>
        </w:rPr>
        <w:t>same</w:t>
      </w:r>
      <w:r>
        <w:t xml:space="preserve"> kind with One-Spot Service Distribution Configurations </w:t>
      </w:r>
      <w:r>
        <w:rPr>
          <w:i/>
        </w:rPr>
        <w:t>each</w:t>
      </w:r>
      <w:r>
        <w:t xml:space="preserve">, at </w:t>
      </w:r>
      <w:r>
        <w:rPr>
          <w:i/>
        </w:rPr>
        <w:t>several</w:t>
      </w:r>
      <w:r>
        <w:t xml:space="preserve"> distinct premises of interest </w:t>
      </w:r>
      <w:r>
        <w:rPr>
          <w:i/>
        </w:rPr>
        <w:t>with considerable geographical separation</w:t>
      </w:r>
      <w:r>
        <w:t>. Hence, the One-Spot Service Distribution Configuration may serve administrations in geographically large countries with only one or few geographically distinctly separated ports, which do not require coastal-wide coverage.</w:t>
      </w:r>
    </w:p>
    <w:p w14:paraId="11CA4BB2" w14:textId="77777777" w:rsidR="00B176A3" w:rsidRDefault="00B176A3" w:rsidP="00B176A3"/>
    <w:p w14:paraId="18C6AE5A" w14:textId="77777777" w:rsidR="00B176A3" w:rsidRDefault="00B176A3" w:rsidP="00B176A3">
      <w:r>
        <w:t>This renders two principal cases of application for One-Spot Service Distribution Configuration:</w:t>
      </w:r>
    </w:p>
    <w:p w14:paraId="191B7F80" w14:textId="77777777" w:rsidR="00B176A3" w:rsidRDefault="00B176A3" w:rsidP="00B176A3">
      <w:pPr>
        <w:numPr>
          <w:ilvl w:val="0"/>
          <w:numId w:val="27"/>
        </w:numPr>
      </w:pPr>
      <w:proofErr w:type="gramStart"/>
      <w:r>
        <w:rPr>
          <w:i/>
        </w:rPr>
        <w:t>case</w:t>
      </w:r>
      <w:proofErr w:type="gramEnd"/>
      <w:r>
        <w:rPr>
          <w:i/>
        </w:rPr>
        <w:t xml:space="preserve"> 1:</w:t>
      </w:r>
      <w:r>
        <w:t xml:space="preserve"> </w:t>
      </w:r>
      <w:r>
        <w:rPr>
          <w:i/>
        </w:rPr>
        <w:t>national</w:t>
      </w:r>
      <w:r>
        <w:t xml:space="preserve"> competent authority interested in individually confined geographical coverage area(s) within a vast geographical topology, only. </w:t>
      </w:r>
    </w:p>
    <w:p w14:paraId="4EF70BF2" w14:textId="77777777" w:rsidR="00B176A3" w:rsidRDefault="00B176A3" w:rsidP="00B176A3">
      <w:pPr>
        <w:numPr>
          <w:ilvl w:val="0"/>
          <w:numId w:val="27"/>
        </w:numPr>
      </w:pPr>
      <w:proofErr w:type="gramStart"/>
      <w:r>
        <w:rPr>
          <w:i/>
        </w:rPr>
        <w:t>case</w:t>
      </w:r>
      <w:proofErr w:type="gramEnd"/>
      <w:r>
        <w:rPr>
          <w:i/>
        </w:rPr>
        <w:t xml:space="preserve"> 2:</w:t>
      </w:r>
      <w:r>
        <w:t xml:space="preserve"> </w:t>
      </w:r>
      <w:r>
        <w:rPr>
          <w:i/>
        </w:rPr>
        <w:t>localized</w:t>
      </w:r>
      <w:r>
        <w:t xml:space="preserve"> competent authority operating under the regulation of a national competent authority.</w:t>
      </w:r>
    </w:p>
    <w:p w14:paraId="76921076" w14:textId="77777777" w:rsidR="00B176A3" w:rsidRDefault="00B176A3" w:rsidP="00B176A3">
      <w:pPr>
        <w:pStyle w:val="Heading2"/>
        <w:keepNext/>
        <w:numPr>
          <w:ilvl w:val="1"/>
          <w:numId w:val="18"/>
        </w:numPr>
        <w:tabs>
          <w:tab w:val="clear" w:pos="576"/>
          <w:tab w:val="num" w:pos="792"/>
        </w:tabs>
        <w:spacing w:before="240" w:after="60"/>
        <w:ind w:left="792" w:hanging="792"/>
      </w:pPr>
      <w:bookmarkStart w:id="24" w:name="_Toc206576507"/>
      <w:bookmarkStart w:id="25" w:name="_Toc395604432"/>
      <w:r>
        <w:t>Selecting an appropriate Service Distribution</w:t>
      </w:r>
      <w:bookmarkEnd w:id="24"/>
      <w:r>
        <w:t xml:space="preserve"> Configuration</w:t>
      </w:r>
      <w:bookmarkEnd w:id="25"/>
    </w:p>
    <w:p w14:paraId="5C8E7EFE" w14:textId="77777777" w:rsidR="00B176A3" w:rsidRDefault="00B176A3" w:rsidP="00B176A3">
      <w:r>
        <w:t xml:space="preserve">Three different Service Distributions Configurations were introduced in the previous sections. This section summarizes these sections by </w:t>
      </w:r>
      <w:r>
        <w:rPr>
          <w:i/>
        </w:rPr>
        <w:t>introducing criteria-based recommendation for proper selecting the appropriate Service Distribution Configuration</w:t>
      </w:r>
      <w:r>
        <w:t>.</w:t>
      </w:r>
    </w:p>
    <w:p w14:paraId="61AAC757" w14:textId="77777777" w:rsidR="00B176A3" w:rsidRDefault="00B176A3" w:rsidP="00B176A3">
      <w:pPr>
        <w:rPr>
          <w:b/>
          <w:i/>
        </w:rPr>
      </w:pPr>
    </w:p>
    <w:p w14:paraId="6FAE321D" w14:textId="77777777" w:rsidR="00B176A3" w:rsidRDefault="00B176A3" w:rsidP="00B176A3">
      <w:r>
        <w:rPr>
          <w:b/>
          <w:i/>
        </w:rPr>
        <w:t xml:space="preserve">Cautionary note: </w:t>
      </w:r>
      <w:r>
        <w:t xml:space="preserve">The following criteria-based recommendations were created as guidance in particular for those management situations where there is still margin to freely choose the number of Node sites and their locations. </w:t>
      </w:r>
      <w:r>
        <w:rPr>
          <w:b/>
          <w:i/>
        </w:rPr>
        <w:t>Since the determination of the number and the location of the Node sites is a powerful management tool for higher management of a competent authority in the context of the shore-based e-Navigation system architecture,</w:t>
      </w:r>
      <w:r>
        <w:t xml:space="preserve"> the </w:t>
      </w:r>
      <w:r>
        <w:rPr>
          <w:b/>
          <w:i/>
        </w:rPr>
        <w:t>Node site configuration may have been pre-determined</w:t>
      </w:r>
      <w:r>
        <w:t xml:space="preserve"> </w:t>
      </w:r>
      <w:r>
        <w:rPr>
          <w:b/>
          <w:i/>
        </w:rPr>
        <w:t>by a higher management decision</w:t>
      </w:r>
      <w:r>
        <w:t xml:space="preserve">, from the overall management perspective regarding the shore-based e-Navigation system of that competent authority. In that case the following table </w:t>
      </w:r>
      <w:r>
        <w:rPr>
          <w:i/>
        </w:rPr>
        <w:t>indicates the potential consequences</w:t>
      </w:r>
      <w:r>
        <w:t xml:space="preserve"> of that higher management decision for the Distribution Configuration of the service under consideration of that competent authority. </w:t>
      </w:r>
    </w:p>
    <w:p w14:paraId="08C576C1" w14:textId="77777777" w:rsidR="00B176A3" w:rsidRDefault="00B176A3" w:rsidP="00B176A3">
      <w:pPr>
        <w:rPr>
          <w:highlight w:val="yellow"/>
        </w:rPr>
      </w:pPr>
    </w:p>
    <w:p w14:paraId="1A69731A" w14:textId="77777777" w:rsidR="00B176A3" w:rsidRDefault="00B176A3" w:rsidP="00B176A3">
      <w:r>
        <w:t xml:space="preserve">Hence, for the above and for additional reasons as explained below, the Table on the following page can be read in different directions, all of which render useful data. Regarding the criteria given in the Table the following </w:t>
      </w:r>
      <w:r>
        <w:rPr>
          <w:i/>
        </w:rPr>
        <w:t>explanations</w:t>
      </w:r>
      <w:r>
        <w:t xml:space="preserve"> should be considered:</w:t>
      </w:r>
    </w:p>
    <w:p w14:paraId="5A716DA2" w14:textId="77777777" w:rsidR="00B176A3" w:rsidRDefault="00B176A3" w:rsidP="00B176A3">
      <w:pPr>
        <w:numPr>
          <w:ilvl w:val="0"/>
          <w:numId w:val="29"/>
        </w:numPr>
      </w:pPr>
      <w:r>
        <w:rPr>
          <w:b/>
          <w:i/>
        </w:rPr>
        <w:t>Node site redundancy requirement:</w:t>
      </w:r>
      <w:r>
        <w:t xml:space="preserve"> This criterion is independent of any other of the criteria given, and has an overruling effect. Should this criterion be fulfilled, the One-Spot and the One-Node Service Distribution Configurations are </w:t>
      </w:r>
      <w:r>
        <w:rPr>
          <w:i/>
        </w:rPr>
        <w:t>not</w:t>
      </w:r>
      <w:r>
        <w:t xml:space="preserve"> feasible any more, and the table content for the Multi-Node Service Distribution Configuration is relevant, only. This criterion is relevant for </w:t>
      </w:r>
      <w:r>
        <w:rPr>
          <w:i/>
        </w:rPr>
        <w:t>all</w:t>
      </w:r>
      <w:r>
        <w:t xml:space="preserve"> services </w:t>
      </w:r>
      <w:r>
        <w:rPr>
          <w:i/>
        </w:rPr>
        <w:t>with or without</w:t>
      </w:r>
      <w:r>
        <w:t xml:space="preserve"> Physical Layers.</w:t>
      </w:r>
    </w:p>
    <w:p w14:paraId="4C87BABD" w14:textId="77777777" w:rsidR="00B176A3" w:rsidRDefault="00B176A3" w:rsidP="00B176A3"/>
    <w:p w14:paraId="0E13CB2A" w14:textId="77777777" w:rsidR="00B176A3" w:rsidRDefault="00B176A3" w:rsidP="00B176A3">
      <w:pPr>
        <w:numPr>
          <w:ilvl w:val="0"/>
          <w:numId w:val="29"/>
        </w:numPr>
        <w:rPr>
          <w:i/>
        </w:rPr>
      </w:pPr>
      <w:r>
        <w:rPr>
          <w:b/>
          <w:i/>
        </w:rPr>
        <w:t>Resulting Number of Remote Shore Stations:</w:t>
      </w:r>
      <w:r>
        <w:rPr>
          <w:i/>
        </w:rPr>
        <w:t xml:space="preserve"> </w:t>
      </w:r>
      <w:r>
        <w:t>This criterion is only relevant for a service with a Physical Layer. In this case this column provides an entry point into the Table for those competent authorities, where the planning for Remote Shore Station (RSS) locations has been finalized already. The Table would allow for double-checking the results of that RSS planning in terms of the consequences for the service under consideration. Also the Table provides guidance when the Node site arrangement has not yet been finalized.</w:t>
      </w:r>
    </w:p>
    <w:p w14:paraId="2865D051" w14:textId="77777777" w:rsidR="00B176A3" w:rsidRDefault="00B176A3" w:rsidP="00B176A3">
      <w:pPr>
        <w:rPr>
          <w:i/>
        </w:rPr>
      </w:pPr>
    </w:p>
    <w:p w14:paraId="64F586E5" w14:textId="77777777" w:rsidR="00B176A3" w:rsidRDefault="00B176A3" w:rsidP="00B176A3">
      <w:pPr>
        <w:numPr>
          <w:ilvl w:val="0"/>
          <w:numId w:val="29"/>
        </w:numPr>
      </w:pPr>
      <w:r>
        <w:rPr>
          <w:b/>
          <w:i/>
        </w:rPr>
        <w:t>Potential for cellular concepts and their associated advantages:</w:t>
      </w:r>
      <w:r>
        <w:rPr>
          <w:i/>
        </w:rPr>
        <w:t xml:space="preserve"> </w:t>
      </w:r>
      <w:r>
        <w:t xml:space="preserve">At least one cell is formed around one RSS. The advantages of cellular concepts are in particular </w:t>
      </w:r>
    </w:p>
    <w:p w14:paraId="3A44E65E" w14:textId="77777777" w:rsidR="00B176A3" w:rsidRDefault="00B176A3" w:rsidP="00B176A3">
      <w:pPr>
        <w:numPr>
          <w:ilvl w:val="0"/>
          <w:numId w:val="30"/>
        </w:numPr>
        <w:rPr>
          <w:i/>
        </w:rPr>
      </w:pPr>
      <w:r>
        <w:t xml:space="preserve">(1) the localization of interaction with the Physical Link while serving a (much) larger nominal coverage area and </w:t>
      </w:r>
    </w:p>
    <w:p w14:paraId="00468290" w14:textId="77777777" w:rsidR="00B176A3" w:rsidRDefault="00B176A3" w:rsidP="00B176A3">
      <w:pPr>
        <w:numPr>
          <w:ilvl w:val="0"/>
          <w:numId w:val="30"/>
        </w:numPr>
        <w:rPr>
          <w:i/>
        </w:rPr>
      </w:pPr>
      <w:r>
        <w:t xml:space="preserve">(2) </w:t>
      </w:r>
      <w:proofErr w:type="gramStart"/>
      <w:r>
        <w:t>the</w:t>
      </w:r>
      <w:proofErr w:type="gramEnd"/>
      <w:r>
        <w:t xml:space="preserve"> dual insight into the same local coverage area from different RSS of the service under consideration with different geometrical angles of perspective. The advantages of (2) are, amongst others: </w:t>
      </w:r>
    </w:p>
    <w:p w14:paraId="2C0B7CB2" w14:textId="77777777" w:rsidR="00B176A3" w:rsidRDefault="00B176A3" w:rsidP="00B176A3">
      <w:pPr>
        <w:numPr>
          <w:ilvl w:val="1"/>
          <w:numId w:val="30"/>
        </w:numPr>
        <w:rPr>
          <w:i/>
        </w:rPr>
      </w:pPr>
      <w:r>
        <w:t xml:space="preserve">coverage redundancy, </w:t>
      </w:r>
    </w:p>
    <w:p w14:paraId="4FBB7CDA" w14:textId="77777777" w:rsidR="00B176A3" w:rsidRDefault="00B176A3" w:rsidP="00B176A3">
      <w:pPr>
        <w:numPr>
          <w:ilvl w:val="1"/>
          <w:numId w:val="30"/>
        </w:numPr>
        <w:rPr>
          <w:i/>
        </w:rPr>
      </w:pPr>
      <w:r>
        <w:t xml:space="preserve">garbling mitigation, </w:t>
      </w:r>
    </w:p>
    <w:p w14:paraId="66B1844B" w14:textId="77777777" w:rsidR="00B176A3" w:rsidRDefault="00B176A3" w:rsidP="00B176A3">
      <w:pPr>
        <w:numPr>
          <w:ilvl w:val="1"/>
          <w:numId w:val="30"/>
        </w:numPr>
        <w:rPr>
          <w:i/>
        </w:rPr>
      </w:pPr>
      <w:r>
        <w:t xml:space="preserve">separation of receive/transmit RSS, </w:t>
      </w:r>
    </w:p>
    <w:p w14:paraId="432D2DED" w14:textId="77777777" w:rsidR="00B176A3" w:rsidRDefault="00B176A3" w:rsidP="00B176A3">
      <w:pPr>
        <w:numPr>
          <w:ilvl w:val="1"/>
          <w:numId w:val="30"/>
        </w:numPr>
        <w:rPr>
          <w:i/>
        </w:rPr>
      </w:pPr>
      <w:r>
        <w:t xml:space="preserve">dynamic re-allocation of receive/transmit RSS, </w:t>
      </w:r>
    </w:p>
    <w:p w14:paraId="3747C087" w14:textId="77777777" w:rsidR="00B176A3" w:rsidRDefault="00B176A3" w:rsidP="00B176A3">
      <w:pPr>
        <w:numPr>
          <w:ilvl w:val="1"/>
          <w:numId w:val="30"/>
        </w:numPr>
        <w:rPr>
          <w:i/>
        </w:rPr>
      </w:pPr>
      <w:proofErr w:type="gramStart"/>
      <w:r>
        <w:t>capability</w:t>
      </w:r>
      <w:proofErr w:type="gramEnd"/>
      <w:r>
        <w:t xml:space="preserve"> for signal in space pooling from different RSS of the service under consideration.</w:t>
      </w:r>
    </w:p>
    <w:p w14:paraId="56B1D64E" w14:textId="77777777" w:rsidR="00B176A3" w:rsidRDefault="00B176A3" w:rsidP="00B176A3">
      <w:pPr>
        <w:ind w:firstLine="360"/>
        <w:rPr>
          <w:i/>
          <w:highlight w:val="yellow"/>
        </w:rPr>
      </w:pPr>
      <w:r>
        <w:t>The importance of the capability for cellular concepts is technology-specific, of course.</w:t>
      </w:r>
    </w:p>
    <w:p w14:paraId="7F775150" w14:textId="77777777" w:rsidR="00B176A3" w:rsidRDefault="00B176A3" w:rsidP="00B176A3">
      <w:pPr>
        <w:rPr>
          <w:b/>
          <w:u w:val="single"/>
        </w:rPr>
      </w:pPr>
    </w:p>
    <w:p w14:paraId="1F77683E" w14:textId="77777777" w:rsidR="00B176A3" w:rsidRDefault="00B176A3" w:rsidP="00B176A3">
      <w:pPr>
        <w:rPr>
          <w:b/>
          <w:u w:val="single"/>
        </w:rPr>
      </w:pPr>
      <w:r>
        <w:rPr>
          <w:b/>
          <w:u w:val="single"/>
        </w:rPr>
        <w:t>Table A3.1: Criteria and Recommendation for selecting an appropriate Service Distribution Contribution</w:t>
      </w:r>
    </w:p>
    <w:tbl>
      <w:tblPr>
        <w:tblW w:w="101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641"/>
        <w:gridCol w:w="1904"/>
        <w:gridCol w:w="1721"/>
        <w:gridCol w:w="1794"/>
        <w:gridCol w:w="1602"/>
      </w:tblGrid>
      <w:tr w:rsidR="00B176A3" w14:paraId="63E283EE" w14:textId="77777777" w:rsidTr="00B176A3">
        <w:tc>
          <w:tcPr>
            <w:tcW w:w="0" w:type="auto"/>
            <w:vMerge w:val="restart"/>
            <w:tcBorders>
              <w:top w:val="single" w:sz="4" w:space="0" w:color="auto"/>
              <w:left w:val="single" w:sz="4" w:space="0" w:color="auto"/>
              <w:bottom w:val="single" w:sz="4" w:space="0" w:color="auto"/>
              <w:right w:val="double" w:sz="4" w:space="0" w:color="auto"/>
            </w:tcBorders>
          </w:tcPr>
          <w:p w14:paraId="42E6E7DE" w14:textId="77777777" w:rsidR="00B176A3" w:rsidRDefault="00B176A3">
            <w:pPr>
              <w:rPr>
                <w:sz w:val="24"/>
                <w:lang w:val="en-US"/>
              </w:rPr>
            </w:pPr>
          </w:p>
          <w:p w14:paraId="2F5A0538" w14:textId="77777777" w:rsidR="00B176A3" w:rsidRDefault="00B176A3">
            <w:pPr>
              <w:ind w:firstLine="708"/>
            </w:pPr>
          </w:p>
          <w:p w14:paraId="2B86F975" w14:textId="77777777" w:rsidR="00B176A3" w:rsidRDefault="00B176A3"/>
          <w:p w14:paraId="741CB53F" w14:textId="77777777" w:rsidR="00B176A3" w:rsidRDefault="00B176A3">
            <w:pPr>
              <w:rPr>
                <w:b/>
                <w:lang w:val="de-DE"/>
              </w:rPr>
            </w:pPr>
            <w:r>
              <w:rPr>
                <w:b/>
                <w:lang w:val="de-DE"/>
              </w:rPr>
              <w:t>Recommen-</w:t>
            </w:r>
          </w:p>
          <w:p w14:paraId="0C62377D" w14:textId="77777777" w:rsidR="00B176A3" w:rsidRDefault="00B176A3">
            <w:pPr>
              <w:rPr>
                <w:b/>
                <w:sz w:val="24"/>
                <w:lang w:val="de-DE"/>
              </w:rPr>
            </w:pPr>
            <w:r>
              <w:rPr>
                <w:b/>
                <w:lang w:val="de-DE"/>
              </w:rPr>
              <w:t>dation</w:t>
            </w:r>
          </w:p>
        </w:tc>
        <w:tc>
          <w:tcPr>
            <w:tcW w:w="8536" w:type="dxa"/>
            <w:gridSpan w:val="5"/>
            <w:tcBorders>
              <w:top w:val="single" w:sz="4" w:space="0" w:color="auto"/>
              <w:left w:val="double" w:sz="4" w:space="0" w:color="auto"/>
              <w:bottom w:val="single" w:sz="4" w:space="0" w:color="auto"/>
              <w:right w:val="single" w:sz="4" w:space="0" w:color="auto"/>
            </w:tcBorders>
            <w:hideMark/>
          </w:tcPr>
          <w:p w14:paraId="2EF764CB" w14:textId="77777777" w:rsidR="00B176A3" w:rsidRDefault="00B176A3">
            <w:pPr>
              <w:jc w:val="center"/>
              <w:rPr>
                <w:b/>
                <w:sz w:val="24"/>
                <w:lang w:val="de-DE"/>
              </w:rPr>
            </w:pPr>
            <w:r>
              <w:rPr>
                <w:b/>
                <w:lang w:val="de-DE"/>
              </w:rPr>
              <w:t>Criteria related to</w:t>
            </w:r>
          </w:p>
        </w:tc>
      </w:tr>
      <w:tr w:rsidR="00B176A3" w14:paraId="0D39D9F0" w14:textId="77777777" w:rsidTr="00B176A3">
        <w:tc>
          <w:tcPr>
            <w:tcW w:w="0" w:type="auto"/>
            <w:vMerge/>
            <w:tcBorders>
              <w:top w:val="single" w:sz="4" w:space="0" w:color="auto"/>
              <w:left w:val="single" w:sz="4" w:space="0" w:color="auto"/>
              <w:bottom w:val="single" w:sz="4" w:space="0" w:color="auto"/>
              <w:right w:val="double" w:sz="4" w:space="0" w:color="auto"/>
            </w:tcBorders>
            <w:vAlign w:val="center"/>
            <w:hideMark/>
          </w:tcPr>
          <w:p w14:paraId="03EC268B" w14:textId="77777777" w:rsidR="00B176A3" w:rsidRDefault="00B176A3">
            <w:pPr>
              <w:rPr>
                <w:b/>
                <w:sz w:val="24"/>
                <w:lang w:val="de-DE"/>
              </w:rPr>
            </w:pPr>
          </w:p>
        </w:tc>
        <w:tc>
          <w:tcPr>
            <w:tcW w:w="3676" w:type="dxa"/>
            <w:gridSpan w:val="2"/>
            <w:tcBorders>
              <w:top w:val="single" w:sz="4" w:space="0" w:color="auto"/>
              <w:left w:val="double" w:sz="4" w:space="0" w:color="auto"/>
              <w:bottom w:val="single" w:sz="4" w:space="0" w:color="auto"/>
              <w:right w:val="double" w:sz="4" w:space="0" w:color="auto"/>
            </w:tcBorders>
            <w:hideMark/>
          </w:tcPr>
          <w:p w14:paraId="158F5740" w14:textId="77777777" w:rsidR="00B176A3" w:rsidRDefault="00B176A3">
            <w:pPr>
              <w:rPr>
                <w:b/>
                <w:sz w:val="24"/>
              </w:rPr>
            </w:pPr>
            <w:r>
              <w:rPr>
                <w:b/>
              </w:rPr>
              <w:t>Coverage area characteristics (*)</w:t>
            </w:r>
          </w:p>
        </w:tc>
        <w:tc>
          <w:tcPr>
            <w:tcW w:w="1800" w:type="dxa"/>
            <w:vMerge w:val="restart"/>
            <w:tcBorders>
              <w:top w:val="single" w:sz="4" w:space="0" w:color="auto"/>
              <w:left w:val="double" w:sz="4" w:space="0" w:color="auto"/>
              <w:bottom w:val="single" w:sz="4" w:space="0" w:color="auto"/>
              <w:right w:val="double" w:sz="4" w:space="0" w:color="auto"/>
            </w:tcBorders>
            <w:hideMark/>
          </w:tcPr>
          <w:p w14:paraId="3712E0EE" w14:textId="77777777" w:rsidR="00B176A3" w:rsidRDefault="00B176A3">
            <w:pPr>
              <w:jc w:val="center"/>
              <w:rPr>
                <w:b/>
                <w:sz w:val="24"/>
                <w:lang w:val="en-US"/>
              </w:rPr>
            </w:pPr>
            <w:r>
              <w:rPr>
                <w:b/>
              </w:rPr>
              <w:t>Potential for cellular concepts and their associated advantages (*)</w:t>
            </w:r>
          </w:p>
        </w:tc>
        <w:tc>
          <w:tcPr>
            <w:tcW w:w="1440" w:type="dxa"/>
            <w:vMerge w:val="restart"/>
            <w:tcBorders>
              <w:top w:val="single" w:sz="4" w:space="0" w:color="auto"/>
              <w:left w:val="double" w:sz="4" w:space="0" w:color="auto"/>
              <w:bottom w:val="single" w:sz="4" w:space="0" w:color="auto"/>
              <w:right w:val="double" w:sz="4" w:space="0" w:color="auto"/>
            </w:tcBorders>
            <w:hideMark/>
          </w:tcPr>
          <w:p w14:paraId="6A4BEA84" w14:textId="77777777" w:rsidR="00B176A3" w:rsidRDefault="00B176A3">
            <w:pPr>
              <w:rPr>
                <w:b/>
                <w:sz w:val="24"/>
                <w:lang w:val="en-US"/>
              </w:rPr>
            </w:pPr>
            <w:r>
              <w:rPr>
                <w:b/>
              </w:rPr>
              <w:t>Recommended for resulting No of RSS (*); (1)</w:t>
            </w:r>
          </w:p>
        </w:tc>
        <w:tc>
          <w:tcPr>
            <w:tcW w:w="1620" w:type="dxa"/>
            <w:vMerge w:val="restart"/>
            <w:tcBorders>
              <w:top w:val="single" w:sz="4" w:space="0" w:color="auto"/>
              <w:left w:val="double" w:sz="4" w:space="0" w:color="auto"/>
              <w:bottom w:val="single" w:sz="4" w:space="0" w:color="auto"/>
              <w:right w:val="single" w:sz="4" w:space="0" w:color="auto"/>
            </w:tcBorders>
            <w:hideMark/>
          </w:tcPr>
          <w:p w14:paraId="7D70C4E8" w14:textId="77777777" w:rsidR="00B176A3" w:rsidRDefault="00B176A3">
            <w:pPr>
              <w:rPr>
                <w:b/>
                <w:sz w:val="24"/>
                <w:lang w:val="en-US"/>
              </w:rPr>
            </w:pPr>
            <w:r>
              <w:rPr>
                <w:b/>
              </w:rPr>
              <w:t>Site diversity required for Node site</w:t>
            </w:r>
          </w:p>
          <w:p w14:paraId="6A3EFB41" w14:textId="77777777" w:rsidR="00B176A3" w:rsidRDefault="00B176A3">
            <w:pPr>
              <w:rPr>
                <w:b/>
                <w:sz w:val="24"/>
                <w:lang w:val="en-US"/>
              </w:rPr>
            </w:pPr>
            <w:r>
              <w:rPr>
                <w:b/>
              </w:rPr>
              <w:t>(Node site redundancy)</w:t>
            </w:r>
          </w:p>
        </w:tc>
      </w:tr>
      <w:tr w:rsidR="00B176A3" w:rsidRPr="00B176A3" w14:paraId="0FE619CC" w14:textId="77777777" w:rsidTr="00B176A3">
        <w:tc>
          <w:tcPr>
            <w:tcW w:w="0" w:type="auto"/>
            <w:vMerge/>
            <w:tcBorders>
              <w:top w:val="single" w:sz="4" w:space="0" w:color="auto"/>
              <w:left w:val="single" w:sz="4" w:space="0" w:color="auto"/>
              <w:bottom w:val="single" w:sz="4" w:space="0" w:color="auto"/>
              <w:right w:val="double" w:sz="4" w:space="0" w:color="auto"/>
            </w:tcBorders>
            <w:vAlign w:val="center"/>
            <w:hideMark/>
          </w:tcPr>
          <w:p w14:paraId="7F6A802F" w14:textId="77777777" w:rsidR="00B176A3" w:rsidRDefault="00B176A3">
            <w:pPr>
              <w:rPr>
                <w:b/>
                <w:sz w:val="24"/>
                <w:lang w:val="de-DE"/>
              </w:rPr>
            </w:pPr>
          </w:p>
        </w:tc>
        <w:tc>
          <w:tcPr>
            <w:tcW w:w="1696" w:type="dxa"/>
            <w:tcBorders>
              <w:top w:val="single" w:sz="4" w:space="0" w:color="auto"/>
              <w:left w:val="double" w:sz="4" w:space="0" w:color="auto"/>
              <w:bottom w:val="single" w:sz="4" w:space="0" w:color="auto"/>
              <w:right w:val="single" w:sz="4" w:space="0" w:color="auto"/>
            </w:tcBorders>
            <w:hideMark/>
          </w:tcPr>
          <w:p w14:paraId="33C48D87" w14:textId="77777777" w:rsidR="00B176A3" w:rsidRDefault="00B176A3">
            <w:pPr>
              <w:rPr>
                <w:b/>
                <w:sz w:val="24"/>
                <w:lang w:val="en-US"/>
              </w:rPr>
            </w:pPr>
            <w:r>
              <w:rPr>
                <w:b/>
              </w:rPr>
              <w:t>Total size</w:t>
            </w:r>
          </w:p>
          <w:p w14:paraId="167630AA" w14:textId="77777777" w:rsidR="00B176A3" w:rsidRDefault="00B176A3">
            <w:pPr>
              <w:rPr>
                <w:sz w:val="20"/>
                <w:szCs w:val="20"/>
                <w:lang w:val="en-US"/>
              </w:rPr>
            </w:pPr>
            <w:r>
              <w:rPr>
                <w:sz w:val="20"/>
                <w:szCs w:val="20"/>
              </w:rPr>
              <w:t>(in relationship to coverage area of individual RSS)</w:t>
            </w:r>
          </w:p>
        </w:tc>
        <w:tc>
          <w:tcPr>
            <w:tcW w:w="1980" w:type="dxa"/>
            <w:tcBorders>
              <w:top w:val="single" w:sz="4" w:space="0" w:color="auto"/>
              <w:left w:val="single" w:sz="4" w:space="0" w:color="auto"/>
              <w:bottom w:val="single" w:sz="4" w:space="0" w:color="auto"/>
              <w:right w:val="double" w:sz="4" w:space="0" w:color="auto"/>
            </w:tcBorders>
            <w:hideMark/>
          </w:tcPr>
          <w:p w14:paraId="4F359B36" w14:textId="77777777" w:rsidR="00B176A3" w:rsidRDefault="00B176A3">
            <w:pPr>
              <w:rPr>
                <w:b/>
                <w:sz w:val="24"/>
                <w:lang w:val="en-US"/>
              </w:rPr>
            </w:pPr>
            <w:r>
              <w:rPr>
                <w:b/>
              </w:rPr>
              <w:t>Distinct and separate sea areas to be covered</w:t>
            </w:r>
          </w:p>
        </w:tc>
        <w:tc>
          <w:tcPr>
            <w:tcW w:w="0" w:type="auto"/>
            <w:vMerge/>
            <w:tcBorders>
              <w:top w:val="single" w:sz="4" w:space="0" w:color="auto"/>
              <w:left w:val="double" w:sz="4" w:space="0" w:color="auto"/>
              <w:bottom w:val="single" w:sz="4" w:space="0" w:color="auto"/>
              <w:right w:val="double" w:sz="4" w:space="0" w:color="auto"/>
            </w:tcBorders>
            <w:vAlign w:val="center"/>
            <w:hideMark/>
          </w:tcPr>
          <w:p w14:paraId="56903BF6" w14:textId="77777777" w:rsidR="00B176A3" w:rsidRDefault="00B176A3">
            <w:pPr>
              <w:rPr>
                <w:b/>
                <w:sz w:val="24"/>
                <w:lang w:val="en-US"/>
              </w:rPr>
            </w:pPr>
          </w:p>
        </w:tc>
        <w:tc>
          <w:tcPr>
            <w:tcW w:w="0" w:type="auto"/>
            <w:vMerge/>
            <w:tcBorders>
              <w:top w:val="single" w:sz="4" w:space="0" w:color="auto"/>
              <w:left w:val="double" w:sz="4" w:space="0" w:color="auto"/>
              <w:bottom w:val="single" w:sz="4" w:space="0" w:color="auto"/>
              <w:right w:val="double" w:sz="4" w:space="0" w:color="auto"/>
            </w:tcBorders>
            <w:vAlign w:val="center"/>
            <w:hideMark/>
          </w:tcPr>
          <w:p w14:paraId="765921EF" w14:textId="77777777" w:rsidR="00B176A3" w:rsidRDefault="00B176A3">
            <w:pPr>
              <w:rPr>
                <w:b/>
                <w:sz w:val="24"/>
                <w:lang w:val="en-US"/>
              </w:rPr>
            </w:pPr>
          </w:p>
        </w:tc>
        <w:tc>
          <w:tcPr>
            <w:tcW w:w="0" w:type="auto"/>
            <w:vMerge/>
            <w:tcBorders>
              <w:top w:val="single" w:sz="4" w:space="0" w:color="auto"/>
              <w:left w:val="double" w:sz="4" w:space="0" w:color="auto"/>
              <w:bottom w:val="single" w:sz="4" w:space="0" w:color="auto"/>
              <w:right w:val="single" w:sz="4" w:space="0" w:color="auto"/>
            </w:tcBorders>
            <w:vAlign w:val="center"/>
            <w:hideMark/>
          </w:tcPr>
          <w:p w14:paraId="5477B84C" w14:textId="77777777" w:rsidR="00B176A3" w:rsidRDefault="00B176A3">
            <w:pPr>
              <w:rPr>
                <w:b/>
                <w:sz w:val="24"/>
                <w:lang w:val="en-US"/>
              </w:rPr>
            </w:pPr>
          </w:p>
        </w:tc>
      </w:tr>
      <w:tr w:rsidR="00B176A3" w14:paraId="4E7B9A61" w14:textId="77777777" w:rsidTr="00B176A3">
        <w:tc>
          <w:tcPr>
            <w:tcW w:w="0" w:type="auto"/>
            <w:tcBorders>
              <w:top w:val="single" w:sz="4" w:space="0" w:color="auto"/>
              <w:left w:val="single" w:sz="4" w:space="0" w:color="auto"/>
              <w:bottom w:val="single" w:sz="4" w:space="0" w:color="auto"/>
              <w:right w:val="double" w:sz="4" w:space="0" w:color="auto"/>
            </w:tcBorders>
            <w:hideMark/>
          </w:tcPr>
          <w:p w14:paraId="097866F4" w14:textId="77777777" w:rsidR="00B176A3" w:rsidRDefault="00B176A3">
            <w:pPr>
              <w:rPr>
                <w:sz w:val="24"/>
                <w:lang w:val="en-US"/>
              </w:rPr>
            </w:pPr>
            <w:r>
              <w:rPr>
                <w:b/>
              </w:rPr>
              <w:t>Multiple-Node</w:t>
            </w:r>
            <w:r>
              <w:t xml:space="preserve"> Service Distribution Configuration</w:t>
            </w:r>
          </w:p>
        </w:tc>
        <w:tc>
          <w:tcPr>
            <w:tcW w:w="1696" w:type="dxa"/>
            <w:tcBorders>
              <w:top w:val="single" w:sz="4" w:space="0" w:color="auto"/>
              <w:left w:val="double" w:sz="4" w:space="0" w:color="auto"/>
              <w:bottom w:val="single" w:sz="4" w:space="0" w:color="auto"/>
              <w:right w:val="single" w:sz="4" w:space="0" w:color="auto"/>
            </w:tcBorders>
            <w:hideMark/>
          </w:tcPr>
          <w:p w14:paraId="6B1248D3" w14:textId="77777777" w:rsidR="00B176A3" w:rsidRDefault="00B176A3">
            <w:pPr>
              <w:rPr>
                <w:sz w:val="24"/>
                <w:lang w:val="en-US"/>
              </w:rPr>
            </w:pPr>
            <w:r>
              <w:t>Very large</w:t>
            </w:r>
            <w:r>
              <w:br/>
              <w:t>(e.g. large countries)</w:t>
            </w:r>
          </w:p>
        </w:tc>
        <w:tc>
          <w:tcPr>
            <w:tcW w:w="1980" w:type="dxa"/>
            <w:tcBorders>
              <w:top w:val="single" w:sz="4" w:space="0" w:color="auto"/>
              <w:left w:val="single" w:sz="4" w:space="0" w:color="auto"/>
              <w:bottom w:val="single" w:sz="4" w:space="0" w:color="auto"/>
              <w:right w:val="double" w:sz="4" w:space="0" w:color="auto"/>
            </w:tcBorders>
            <w:hideMark/>
          </w:tcPr>
          <w:p w14:paraId="3780AA9C" w14:textId="77777777" w:rsidR="00B176A3" w:rsidRDefault="00B176A3">
            <w:pPr>
              <w:rPr>
                <w:sz w:val="24"/>
                <w:lang w:val="en-US"/>
              </w:rPr>
            </w:pPr>
            <w:r>
              <w:t>Most likely / recommended</w:t>
            </w:r>
          </w:p>
        </w:tc>
        <w:tc>
          <w:tcPr>
            <w:tcW w:w="1800" w:type="dxa"/>
            <w:tcBorders>
              <w:top w:val="single" w:sz="4" w:space="0" w:color="auto"/>
              <w:left w:val="double" w:sz="4" w:space="0" w:color="auto"/>
              <w:bottom w:val="single" w:sz="4" w:space="0" w:color="auto"/>
              <w:right w:val="double" w:sz="4" w:space="0" w:color="auto"/>
            </w:tcBorders>
            <w:hideMark/>
          </w:tcPr>
          <w:p w14:paraId="5E1DE1FC" w14:textId="77777777" w:rsidR="00B176A3" w:rsidRDefault="00B176A3">
            <w:pPr>
              <w:rPr>
                <w:sz w:val="24"/>
                <w:lang w:val="en-US"/>
              </w:rPr>
            </w:pPr>
            <w:r>
              <w:t>Capable / possible</w:t>
            </w:r>
          </w:p>
        </w:tc>
        <w:tc>
          <w:tcPr>
            <w:tcW w:w="1440" w:type="dxa"/>
            <w:tcBorders>
              <w:top w:val="single" w:sz="4" w:space="0" w:color="auto"/>
              <w:left w:val="double" w:sz="4" w:space="0" w:color="auto"/>
              <w:bottom w:val="single" w:sz="4" w:space="0" w:color="auto"/>
              <w:right w:val="double" w:sz="4" w:space="0" w:color="auto"/>
            </w:tcBorders>
            <w:hideMark/>
          </w:tcPr>
          <w:p w14:paraId="3B736D0B" w14:textId="77777777" w:rsidR="00B176A3" w:rsidRDefault="00B176A3">
            <w:pPr>
              <w:rPr>
                <w:sz w:val="24"/>
                <w:lang w:val="en-US"/>
              </w:rPr>
            </w:pPr>
            <w:r>
              <w:rPr>
                <w:i/>
              </w:rPr>
              <w:t>many</w:t>
            </w:r>
            <w:r>
              <w:t xml:space="preserve"> </w:t>
            </w:r>
            <w:r>
              <w:rPr>
                <w:i/>
              </w:rPr>
              <w:t>more</w:t>
            </w:r>
            <w:r>
              <w:t xml:space="preserve"> than a dozen (12) Remote Shore Stations (RSS)</w:t>
            </w:r>
          </w:p>
        </w:tc>
        <w:tc>
          <w:tcPr>
            <w:tcW w:w="1620" w:type="dxa"/>
            <w:tcBorders>
              <w:top w:val="single" w:sz="4" w:space="0" w:color="auto"/>
              <w:left w:val="double" w:sz="4" w:space="0" w:color="auto"/>
              <w:bottom w:val="single" w:sz="4" w:space="0" w:color="auto"/>
              <w:right w:val="single" w:sz="4" w:space="0" w:color="auto"/>
            </w:tcBorders>
            <w:hideMark/>
          </w:tcPr>
          <w:p w14:paraId="562B196F" w14:textId="77777777" w:rsidR="00B176A3" w:rsidRDefault="00B176A3">
            <w:pPr>
              <w:rPr>
                <w:sz w:val="24"/>
                <w:lang w:val="en-US"/>
              </w:rPr>
            </w:pPr>
            <w:r>
              <w:t>Possible</w:t>
            </w:r>
          </w:p>
        </w:tc>
      </w:tr>
      <w:tr w:rsidR="00B176A3" w14:paraId="4B672164" w14:textId="77777777" w:rsidTr="00B176A3">
        <w:tc>
          <w:tcPr>
            <w:tcW w:w="0" w:type="auto"/>
            <w:tcBorders>
              <w:top w:val="single" w:sz="4" w:space="0" w:color="auto"/>
              <w:left w:val="single" w:sz="4" w:space="0" w:color="auto"/>
              <w:bottom w:val="single" w:sz="4" w:space="0" w:color="auto"/>
              <w:right w:val="double" w:sz="4" w:space="0" w:color="auto"/>
            </w:tcBorders>
            <w:hideMark/>
          </w:tcPr>
          <w:p w14:paraId="76DE5A05" w14:textId="77777777" w:rsidR="00B176A3" w:rsidRDefault="00B176A3">
            <w:pPr>
              <w:rPr>
                <w:sz w:val="24"/>
                <w:lang w:val="en-US"/>
              </w:rPr>
            </w:pPr>
            <w:r>
              <w:rPr>
                <w:b/>
              </w:rPr>
              <w:t>One-Node</w:t>
            </w:r>
            <w:r>
              <w:t xml:space="preserve"> Service Distribution Configuration</w:t>
            </w:r>
          </w:p>
        </w:tc>
        <w:tc>
          <w:tcPr>
            <w:tcW w:w="1696" w:type="dxa"/>
            <w:tcBorders>
              <w:top w:val="single" w:sz="4" w:space="0" w:color="auto"/>
              <w:left w:val="double" w:sz="4" w:space="0" w:color="auto"/>
              <w:bottom w:val="single" w:sz="4" w:space="0" w:color="auto"/>
              <w:right w:val="single" w:sz="4" w:space="0" w:color="auto"/>
            </w:tcBorders>
            <w:hideMark/>
          </w:tcPr>
          <w:p w14:paraId="4B306967" w14:textId="77777777" w:rsidR="00B176A3" w:rsidRDefault="00B176A3">
            <w:pPr>
              <w:rPr>
                <w:sz w:val="24"/>
                <w:lang w:val="en-US"/>
              </w:rPr>
            </w:pPr>
            <w:r>
              <w:t>Intermediate to large</w:t>
            </w:r>
            <w:r>
              <w:br/>
              <w:t>(e.g. “small” countries)</w:t>
            </w:r>
          </w:p>
        </w:tc>
        <w:tc>
          <w:tcPr>
            <w:tcW w:w="1980" w:type="dxa"/>
            <w:tcBorders>
              <w:top w:val="single" w:sz="4" w:space="0" w:color="auto"/>
              <w:left w:val="single" w:sz="4" w:space="0" w:color="auto"/>
              <w:bottom w:val="single" w:sz="4" w:space="0" w:color="auto"/>
              <w:right w:val="double" w:sz="4" w:space="0" w:color="auto"/>
            </w:tcBorders>
            <w:hideMark/>
          </w:tcPr>
          <w:p w14:paraId="1B486A5D" w14:textId="77777777" w:rsidR="00B176A3" w:rsidRDefault="00B176A3">
            <w:pPr>
              <w:rPr>
                <w:sz w:val="24"/>
                <w:lang w:val="en-US"/>
              </w:rPr>
            </w:pPr>
            <w:r>
              <w:t>Possible / recommended only for smaller countries</w:t>
            </w:r>
          </w:p>
        </w:tc>
        <w:tc>
          <w:tcPr>
            <w:tcW w:w="1800" w:type="dxa"/>
            <w:tcBorders>
              <w:top w:val="single" w:sz="4" w:space="0" w:color="auto"/>
              <w:left w:val="double" w:sz="4" w:space="0" w:color="auto"/>
              <w:bottom w:val="single" w:sz="4" w:space="0" w:color="auto"/>
              <w:right w:val="double" w:sz="4" w:space="0" w:color="auto"/>
            </w:tcBorders>
            <w:hideMark/>
          </w:tcPr>
          <w:p w14:paraId="44253260" w14:textId="77777777" w:rsidR="00B176A3" w:rsidRDefault="00B176A3">
            <w:pPr>
              <w:rPr>
                <w:sz w:val="24"/>
                <w:lang w:val="en-US"/>
              </w:rPr>
            </w:pPr>
            <w:r>
              <w:t>Capable / possible</w:t>
            </w:r>
          </w:p>
        </w:tc>
        <w:tc>
          <w:tcPr>
            <w:tcW w:w="1440" w:type="dxa"/>
            <w:tcBorders>
              <w:top w:val="single" w:sz="4" w:space="0" w:color="auto"/>
              <w:left w:val="double" w:sz="4" w:space="0" w:color="auto"/>
              <w:bottom w:val="single" w:sz="4" w:space="0" w:color="auto"/>
              <w:right w:val="double" w:sz="4" w:space="0" w:color="auto"/>
            </w:tcBorders>
            <w:hideMark/>
          </w:tcPr>
          <w:p w14:paraId="620A5661" w14:textId="77777777" w:rsidR="00B176A3" w:rsidRDefault="00B176A3">
            <w:pPr>
              <w:rPr>
                <w:i/>
                <w:sz w:val="24"/>
                <w:u w:val="single"/>
                <w:lang w:val="en-US"/>
              </w:rPr>
            </w:pPr>
            <w:r>
              <w:rPr>
                <w:i/>
              </w:rPr>
              <w:t>Up to</w:t>
            </w:r>
            <w:r>
              <w:t xml:space="preserve"> ca. a dozen (12) Remote Shore Stations (RSS)</w:t>
            </w:r>
          </w:p>
        </w:tc>
        <w:tc>
          <w:tcPr>
            <w:tcW w:w="1620" w:type="dxa"/>
            <w:tcBorders>
              <w:top w:val="single" w:sz="4" w:space="0" w:color="auto"/>
              <w:left w:val="double" w:sz="4" w:space="0" w:color="auto"/>
              <w:bottom w:val="single" w:sz="4" w:space="0" w:color="auto"/>
              <w:right w:val="single" w:sz="4" w:space="0" w:color="auto"/>
            </w:tcBorders>
            <w:hideMark/>
          </w:tcPr>
          <w:p w14:paraId="41A0A858" w14:textId="77777777" w:rsidR="00B176A3" w:rsidRDefault="00B176A3">
            <w:pPr>
              <w:rPr>
                <w:i/>
                <w:sz w:val="24"/>
                <w:u w:val="single"/>
                <w:lang w:val="en-US"/>
              </w:rPr>
            </w:pPr>
            <w:r>
              <w:rPr>
                <w:i/>
                <w:u w:val="single"/>
              </w:rPr>
              <w:t>Not possible</w:t>
            </w:r>
          </w:p>
        </w:tc>
      </w:tr>
      <w:tr w:rsidR="00B176A3" w14:paraId="5E55558E" w14:textId="77777777" w:rsidTr="00B176A3">
        <w:tc>
          <w:tcPr>
            <w:tcW w:w="0" w:type="auto"/>
            <w:tcBorders>
              <w:top w:val="single" w:sz="4" w:space="0" w:color="auto"/>
              <w:left w:val="single" w:sz="4" w:space="0" w:color="auto"/>
              <w:bottom w:val="single" w:sz="4" w:space="0" w:color="auto"/>
              <w:right w:val="double" w:sz="4" w:space="0" w:color="auto"/>
            </w:tcBorders>
            <w:hideMark/>
          </w:tcPr>
          <w:p w14:paraId="4E78E8F9" w14:textId="77777777" w:rsidR="00B176A3" w:rsidRDefault="00B176A3">
            <w:pPr>
              <w:rPr>
                <w:sz w:val="24"/>
                <w:lang w:val="en-US"/>
              </w:rPr>
            </w:pPr>
            <w:r>
              <w:rPr>
                <w:b/>
              </w:rPr>
              <w:t>One-Spot</w:t>
            </w:r>
            <w:r>
              <w:t xml:space="preserve"> Service Distribution Configuration</w:t>
            </w:r>
          </w:p>
        </w:tc>
        <w:tc>
          <w:tcPr>
            <w:tcW w:w="1696" w:type="dxa"/>
            <w:tcBorders>
              <w:top w:val="single" w:sz="4" w:space="0" w:color="auto"/>
              <w:left w:val="double" w:sz="4" w:space="0" w:color="auto"/>
              <w:bottom w:val="single" w:sz="4" w:space="0" w:color="auto"/>
              <w:right w:val="single" w:sz="4" w:space="0" w:color="auto"/>
            </w:tcBorders>
            <w:hideMark/>
          </w:tcPr>
          <w:p w14:paraId="0F8E64AA" w14:textId="77777777" w:rsidR="00B176A3" w:rsidRDefault="00B176A3">
            <w:pPr>
              <w:rPr>
                <w:sz w:val="24"/>
                <w:lang w:val="en-US"/>
              </w:rPr>
            </w:pPr>
            <w:r>
              <w:t>Small</w:t>
            </w:r>
          </w:p>
          <w:p w14:paraId="64B876D1" w14:textId="77777777" w:rsidR="00B176A3" w:rsidRDefault="00B176A3">
            <w:pPr>
              <w:rPr>
                <w:sz w:val="24"/>
                <w:lang w:val="en-US"/>
              </w:rPr>
            </w:pPr>
            <w:r>
              <w:t>(e.g. port area)</w:t>
            </w:r>
          </w:p>
        </w:tc>
        <w:tc>
          <w:tcPr>
            <w:tcW w:w="1980" w:type="dxa"/>
            <w:tcBorders>
              <w:top w:val="single" w:sz="4" w:space="0" w:color="auto"/>
              <w:left w:val="single" w:sz="4" w:space="0" w:color="auto"/>
              <w:bottom w:val="single" w:sz="4" w:space="0" w:color="auto"/>
              <w:right w:val="double" w:sz="4" w:space="0" w:color="auto"/>
            </w:tcBorders>
            <w:hideMark/>
          </w:tcPr>
          <w:p w14:paraId="13B31E73" w14:textId="77777777" w:rsidR="00B176A3" w:rsidRDefault="00B176A3">
            <w:pPr>
              <w:rPr>
                <w:i/>
                <w:sz w:val="24"/>
                <w:u w:val="single"/>
                <w:lang w:val="en-US"/>
              </w:rPr>
            </w:pPr>
            <w:r>
              <w:rPr>
                <w:i/>
                <w:u w:val="single"/>
              </w:rPr>
              <w:t>Not possible</w:t>
            </w:r>
          </w:p>
        </w:tc>
        <w:tc>
          <w:tcPr>
            <w:tcW w:w="1800" w:type="dxa"/>
            <w:tcBorders>
              <w:top w:val="single" w:sz="4" w:space="0" w:color="auto"/>
              <w:left w:val="double" w:sz="4" w:space="0" w:color="auto"/>
              <w:bottom w:val="single" w:sz="4" w:space="0" w:color="auto"/>
              <w:right w:val="double" w:sz="4" w:space="0" w:color="auto"/>
            </w:tcBorders>
            <w:hideMark/>
          </w:tcPr>
          <w:p w14:paraId="59A3D22E" w14:textId="77777777" w:rsidR="00B176A3" w:rsidRDefault="00B176A3">
            <w:pPr>
              <w:rPr>
                <w:i/>
                <w:sz w:val="24"/>
                <w:u w:val="single"/>
                <w:lang w:val="en-US"/>
              </w:rPr>
            </w:pPr>
            <w:r>
              <w:rPr>
                <w:i/>
                <w:u w:val="single"/>
              </w:rPr>
              <w:t>Not possible</w:t>
            </w:r>
          </w:p>
        </w:tc>
        <w:tc>
          <w:tcPr>
            <w:tcW w:w="1440" w:type="dxa"/>
            <w:tcBorders>
              <w:top w:val="single" w:sz="4" w:space="0" w:color="auto"/>
              <w:left w:val="double" w:sz="4" w:space="0" w:color="auto"/>
              <w:bottom w:val="single" w:sz="4" w:space="0" w:color="auto"/>
              <w:right w:val="double" w:sz="4" w:space="0" w:color="auto"/>
            </w:tcBorders>
            <w:hideMark/>
          </w:tcPr>
          <w:p w14:paraId="7CC31596" w14:textId="77777777" w:rsidR="00B176A3" w:rsidRDefault="00B176A3">
            <w:pPr>
              <w:rPr>
                <w:i/>
                <w:sz w:val="24"/>
                <w:u w:val="single"/>
                <w:lang w:val="en-US"/>
              </w:rPr>
            </w:pPr>
            <w:r>
              <w:rPr>
                <w:i/>
                <w:u w:val="single"/>
              </w:rPr>
              <w:t>One (1)</w:t>
            </w:r>
            <w:r>
              <w:t xml:space="preserve"> Remote Shore Station (RSS)</w:t>
            </w:r>
          </w:p>
        </w:tc>
        <w:tc>
          <w:tcPr>
            <w:tcW w:w="1620" w:type="dxa"/>
            <w:tcBorders>
              <w:top w:val="single" w:sz="4" w:space="0" w:color="auto"/>
              <w:left w:val="double" w:sz="4" w:space="0" w:color="auto"/>
              <w:bottom w:val="single" w:sz="4" w:space="0" w:color="auto"/>
              <w:right w:val="single" w:sz="4" w:space="0" w:color="auto"/>
            </w:tcBorders>
            <w:hideMark/>
          </w:tcPr>
          <w:p w14:paraId="63200464" w14:textId="77777777" w:rsidR="00B176A3" w:rsidRDefault="00B176A3">
            <w:pPr>
              <w:rPr>
                <w:i/>
                <w:sz w:val="24"/>
                <w:u w:val="single"/>
                <w:lang w:val="en-US"/>
              </w:rPr>
            </w:pPr>
            <w:r>
              <w:rPr>
                <w:i/>
                <w:u w:val="single"/>
              </w:rPr>
              <w:t>Not possible</w:t>
            </w:r>
          </w:p>
        </w:tc>
      </w:tr>
    </w:tbl>
    <w:p w14:paraId="0AC011A4" w14:textId="77777777" w:rsidR="00B176A3" w:rsidRDefault="00B176A3" w:rsidP="00B176A3">
      <w:pPr>
        <w:rPr>
          <w:sz w:val="20"/>
          <w:szCs w:val="20"/>
          <w:lang w:val="en-US"/>
        </w:rPr>
      </w:pPr>
      <w:r>
        <w:rPr>
          <w:b/>
          <w:i/>
          <w:sz w:val="20"/>
          <w:szCs w:val="20"/>
        </w:rPr>
        <w:t>Note (*):</w:t>
      </w:r>
      <w:r>
        <w:rPr>
          <w:sz w:val="20"/>
          <w:szCs w:val="20"/>
        </w:rPr>
        <w:t xml:space="preserve"> relevant for service with Physical Layer which interacts with a Physical Link external to the shore-based e-Navigation system.</w:t>
      </w:r>
    </w:p>
    <w:p w14:paraId="05716705" w14:textId="77777777" w:rsidR="00B176A3" w:rsidRDefault="00B176A3" w:rsidP="00B176A3">
      <w:pPr>
        <w:rPr>
          <w:sz w:val="20"/>
          <w:szCs w:val="20"/>
        </w:rPr>
      </w:pPr>
      <w:r>
        <w:rPr>
          <w:b/>
          <w:i/>
          <w:sz w:val="20"/>
          <w:szCs w:val="20"/>
        </w:rPr>
        <w:t>Note 1:</w:t>
      </w:r>
      <w:r>
        <w:rPr>
          <w:sz w:val="20"/>
          <w:szCs w:val="20"/>
        </w:rPr>
        <w:t xml:space="preserve"> The figure “dozen (12)” indicates that this figure is meant to indicate the order of the number of RSS. Hence, the range of e.g. 10-15 would be equally appropriate.</w:t>
      </w:r>
      <w:bookmarkStart w:id="26" w:name="_Toc206576508"/>
    </w:p>
    <w:p w14:paraId="6A89E542" w14:textId="77777777" w:rsidR="00B176A3" w:rsidRDefault="00B176A3" w:rsidP="00B176A3">
      <w:pPr>
        <w:rPr>
          <w:sz w:val="24"/>
        </w:rPr>
      </w:pPr>
    </w:p>
    <w:p w14:paraId="472D08E4" w14:textId="77777777" w:rsidR="00B176A3" w:rsidRDefault="00B176A3" w:rsidP="00B176A3">
      <w:pPr>
        <w:pStyle w:val="Heading1"/>
        <w:numPr>
          <w:ilvl w:val="0"/>
          <w:numId w:val="18"/>
        </w:numPr>
        <w:spacing w:after="60"/>
      </w:pPr>
      <w:r>
        <w:t>Coverage Area</w:t>
      </w:r>
      <w:bookmarkEnd w:id="26"/>
      <w:r>
        <w:t xml:space="preserve"> Definitions </w:t>
      </w:r>
    </w:p>
    <w:p w14:paraId="25BAEC98" w14:textId="77777777" w:rsidR="00B176A3" w:rsidRDefault="00B176A3" w:rsidP="00B176A3">
      <w:pPr>
        <w:pStyle w:val="Heading2"/>
        <w:keepNext/>
        <w:numPr>
          <w:ilvl w:val="1"/>
          <w:numId w:val="18"/>
        </w:numPr>
        <w:spacing w:before="240" w:after="60"/>
      </w:pPr>
      <w:bookmarkStart w:id="27" w:name="_Toc395604433"/>
      <w:r>
        <w:t>Introduction</w:t>
      </w:r>
      <w:bookmarkEnd w:id="27"/>
    </w:p>
    <w:p w14:paraId="0F134DED" w14:textId="77777777" w:rsidR="00B176A3" w:rsidRDefault="00B176A3" w:rsidP="00B176A3">
      <w:r>
        <w:t xml:space="preserve">The previous chapter has introduced different Service Distribution Configurations. Also, certain criteria were given for which Service Distribution Contribution would suit which competent authority. For a service under consideration with a Physical Layer, the coverage planning considerations were identified as one of the most important criterion for selecting a Service Distribution Contribution. </w:t>
      </w:r>
    </w:p>
    <w:p w14:paraId="72A1343E" w14:textId="77777777" w:rsidR="00B176A3" w:rsidRDefault="00B176A3" w:rsidP="00B176A3"/>
    <w:p w14:paraId="2D5E22BD" w14:textId="77777777" w:rsidR="00B176A3" w:rsidRDefault="00B176A3" w:rsidP="00B176A3">
      <w:r>
        <w:t xml:space="preserve">This chapter elaborates on general aspects of coverage planning and provides some recommendations regarding coverage planning. </w:t>
      </w:r>
    </w:p>
    <w:p w14:paraId="0F677C03" w14:textId="77777777" w:rsidR="00B176A3" w:rsidRDefault="00B176A3" w:rsidP="00B176A3"/>
    <w:p w14:paraId="100D4048" w14:textId="77777777" w:rsidR="00B176A3" w:rsidRDefault="00B176A3" w:rsidP="00B176A3">
      <w:r>
        <w:t>These in turn may influence the Distribution Model of the service under consideration, when selecting a Service Distribution Configuration for the service under consideration. On the other hand, this chapter also provides consequential recommendations and helpful data should the Service Distribution Configuration be pre-set by a management decision already: There still is the need to support the pre-set Service Distribution Configuration with proper coverage planning.</w:t>
      </w:r>
    </w:p>
    <w:p w14:paraId="6767BEAE" w14:textId="77777777" w:rsidR="00B176A3" w:rsidRDefault="00B176A3" w:rsidP="00B176A3">
      <w:pPr>
        <w:rPr>
          <w:i/>
        </w:rPr>
      </w:pPr>
    </w:p>
    <w:p w14:paraId="120AFFB7" w14:textId="77777777" w:rsidR="00B176A3" w:rsidRDefault="00B176A3" w:rsidP="00B176A3">
      <w:r>
        <w:rPr>
          <w:i/>
        </w:rPr>
        <w:t xml:space="preserve">This chapter is relevant for services with </w:t>
      </w:r>
      <w:r>
        <w:rPr>
          <w:b/>
          <w:i/>
        </w:rPr>
        <w:t>and</w:t>
      </w:r>
      <w:r>
        <w:rPr>
          <w:i/>
        </w:rPr>
        <w:t xml:space="preserve"> without Physical Layer,</w:t>
      </w:r>
      <w:r>
        <w:t xml:space="preserve"> although “coverage planning” implies some limitations to services with Physical Layer at face value. However, services </w:t>
      </w:r>
      <w:r>
        <w:rPr>
          <w:i/>
        </w:rPr>
        <w:t>without Physical Layer also have a “coverage area”</w:t>
      </w:r>
      <w:r>
        <w:t xml:space="preserve">, which – by default and maximum – is the geographical area of competence for the administration setting up the service. </w:t>
      </w:r>
    </w:p>
    <w:p w14:paraId="4B00D58A" w14:textId="77777777" w:rsidR="00B176A3" w:rsidRDefault="00B176A3" w:rsidP="00B176A3"/>
    <w:p w14:paraId="7A0CE29A" w14:textId="77777777" w:rsidR="00B176A3" w:rsidRDefault="00B176A3" w:rsidP="00B176A3">
      <w:r>
        <w:t xml:space="preserve">There are requirements and benefits for services without Physical Layer to actually plan for a subdivision of their default “coverage area”.  </w:t>
      </w:r>
    </w:p>
    <w:p w14:paraId="5B5E151F" w14:textId="77777777" w:rsidR="00B176A3" w:rsidRDefault="00B176A3" w:rsidP="00B176A3"/>
    <w:p w14:paraId="435D24BF" w14:textId="77777777" w:rsidR="00B176A3" w:rsidRDefault="00B176A3" w:rsidP="00B176A3">
      <w:r>
        <w:t xml:space="preserve">Hence both kinds of services, services with and without Physical Layer, are addressed in this chapter. For services without a Physical Layer, the statements specifically regarding the coverage planning of Physical Layer can be ignored. </w:t>
      </w:r>
    </w:p>
    <w:p w14:paraId="67578F19" w14:textId="77777777" w:rsidR="00B176A3" w:rsidRDefault="00B176A3" w:rsidP="00B176A3">
      <w:pPr>
        <w:rPr>
          <w:highlight w:val="yellow"/>
        </w:rPr>
      </w:pPr>
    </w:p>
    <w:p w14:paraId="25199883" w14:textId="77777777" w:rsidR="00B176A3" w:rsidRDefault="00B176A3" w:rsidP="00B176A3">
      <w:r>
        <w:t xml:space="preserve">The </w:t>
      </w:r>
      <w:r>
        <w:rPr>
          <w:i/>
        </w:rPr>
        <w:t>goals</w:t>
      </w:r>
      <w:r>
        <w:t xml:space="preserve"> of this chapter are:</w:t>
      </w:r>
    </w:p>
    <w:p w14:paraId="61FC98AD" w14:textId="77777777" w:rsidR="00B176A3" w:rsidRDefault="00B176A3" w:rsidP="00B176A3">
      <w:pPr>
        <w:numPr>
          <w:ilvl w:val="0"/>
          <w:numId w:val="31"/>
        </w:numPr>
      </w:pPr>
      <w:r>
        <w:t xml:space="preserve">Elaborate the </w:t>
      </w:r>
      <w:r>
        <w:rPr>
          <w:i/>
        </w:rPr>
        <w:t>bearing of coverage planning on the Distribution Model</w:t>
      </w:r>
      <w:r>
        <w:t xml:space="preserve"> of the service under consideration, and </w:t>
      </w:r>
      <w:r>
        <w:rPr>
          <w:i/>
        </w:rPr>
        <w:t>vice versa</w:t>
      </w:r>
      <w:r>
        <w:t>.</w:t>
      </w:r>
    </w:p>
    <w:p w14:paraId="327A22CE" w14:textId="77777777" w:rsidR="00B176A3" w:rsidRDefault="00B176A3" w:rsidP="00B176A3"/>
    <w:p w14:paraId="1295F947" w14:textId="77777777" w:rsidR="00B176A3" w:rsidRDefault="00B176A3" w:rsidP="00B176A3">
      <w:pPr>
        <w:numPr>
          <w:ilvl w:val="0"/>
          <w:numId w:val="31"/>
        </w:numPr>
      </w:pPr>
      <w:r>
        <w:t xml:space="preserve">Describe generally the </w:t>
      </w:r>
      <w:r>
        <w:rPr>
          <w:i/>
        </w:rPr>
        <w:t xml:space="preserve">options available in terms of coverage </w:t>
      </w:r>
      <w:r>
        <w:t xml:space="preserve">for setting up an Remote Shore Station (RSS) of the service under consideration, taking into account combinations of </w:t>
      </w:r>
      <w:proofErr w:type="spellStart"/>
      <w:r>
        <w:t>sectorized</w:t>
      </w:r>
      <w:proofErr w:type="spellEnd"/>
      <w:r>
        <w:t xml:space="preserve"> (i.e. directional) vs. omnidirectional Physical Link Couplers, i.e. the options derived from a </w:t>
      </w:r>
      <w:proofErr w:type="spellStart"/>
      <w:r>
        <w:t>sectorized</w:t>
      </w:r>
      <w:proofErr w:type="spellEnd"/>
      <w:r>
        <w:t xml:space="preserve"> Physical Link Coupler (PLC) Layer. Hence, this section elaborates the bearing of these options in terms of component setup at the RSS sites of the service on the Distribution Model.</w:t>
      </w:r>
    </w:p>
    <w:p w14:paraId="1E88D45D" w14:textId="77777777" w:rsidR="00B176A3" w:rsidRDefault="00B176A3" w:rsidP="00B176A3">
      <w:pPr>
        <w:ind w:left="360"/>
      </w:pPr>
    </w:p>
    <w:p w14:paraId="0247B6C6" w14:textId="77777777" w:rsidR="00B176A3" w:rsidRDefault="00B176A3" w:rsidP="00B176A3">
      <w:pPr>
        <w:numPr>
          <w:ilvl w:val="0"/>
          <w:numId w:val="31"/>
        </w:numPr>
      </w:pPr>
      <w:r>
        <w:t xml:space="preserve">Recognize the resulting requirements for the functionality of the PSS and the SM in particular. These requirements will be taken up by the appropriate </w:t>
      </w:r>
      <w:r>
        <w:rPr>
          <w:b/>
        </w:rPr>
        <w:t>Annex 9</w:t>
      </w:r>
      <w:r>
        <w:t xml:space="preserve"> </w:t>
      </w:r>
      <w:r>
        <w:rPr>
          <w:b/>
        </w:rPr>
        <w:t>and 11</w:t>
      </w:r>
      <w:r>
        <w:t>, describing the PSS and SM functionalities accordingly.</w:t>
      </w:r>
    </w:p>
    <w:p w14:paraId="143B8C3F" w14:textId="77777777" w:rsidR="00B176A3" w:rsidRDefault="00B176A3" w:rsidP="00B176A3"/>
    <w:p w14:paraId="4B7FF6D9" w14:textId="77777777" w:rsidR="00B176A3" w:rsidRDefault="00B176A3" w:rsidP="00B176A3">
      <w:pPr>
        <w:numPr>
          <w:ilvl w:val="0"/>
          <w:numId w:val="31"/>
        </w:numPr>
      </w:pPr>
      <w:r>
        <w:t xml:space="preserve">Lay the foundation for abstract data </w:t>
      </w:r>
      <w:proofErr w:type="spellStart"/>
      <w:r>
        <w:t>modeling</w:t>
      </w:r>
      <w:proofErr w:type="spellEnd"/>
      <w:r>
        <w:t xml:space="preserve"> for the needs of the service itself as well as for its eventual integration into the shore-based e-Navigation system architecture.</w:t>
      </w:r>
    </w:p>
    <w:p w14:paraId="072DC8E3" w14:textId="77777777" w:rsidR="00B176A3" w:rsidRDefault="00B176A3" w:rsidP="00B176A3">
      <w:pPr>
        <w:pStyle w:val="Heading2"/>
        <w:keepNext/>
        <w:numPr>
          <w:ilvl w:val="1"/>
          <w:numId w:val="18"/>
        </w:numPr>
        <w:tabs>
          <w:tab w:val="clear" w:pos="576"/>
          <w:tab w:val="num" w:pos="792"/>
        </w:tabs>
        <w:spacing w:before="240" w:after="60"/>
        <w:ind w:left="792" w:hanging="792"/>
      </w:pPr>
      <w:bookmarkStart w:id="28" w:name="_Toc206576509"/>
      <w:bookmarkStart w:id="29" w:name="_Toc395604434"/>
      <w:r>
        <w:t>The concept of the Nominal Coverage Area</w:t>
      </w:r>
      <w:bookmarkEnd w:id="28"/>
      <w:bookmarkEnd w:id="29"/>
    </w:p>
    <w:p w14:paraId="02806F15" w14:textId="77777777" w:rsidR="00B176A3" w:rsidRDefault="00B176A3" w:rsidP="00B176A3">
      <w:pPr>
        <w:pStyle w:val="Formatvorlageberschrift3BlockLinks0cmHngend127cm1"/>
        <w:numPr>
          <w:ilvl w:val="2"/>
          <w:numId w:val="18"/>
        </w:numPr>
        <w:tabs>
          <w:tab w:val="num" w:pos="360"/>
        </w:tabs>
        <w:ind w:left="360" w:hanging="360"/>
      </w:pPr>
      <w:bookmarkStart w:id="30" w:name="_Toc395604435"/>
      <w:r>
        <w:t>Benefits of defining Nominal Coverage Area</w:t>
      </w:r>
      <w:bookmarkEnd w:id="30"/>
    </w:p>
    <w:p w14:paraId="1432181A" w14:textId="77777777" w:rsidR="00B176A3" w:rsidRDefault="00B176A3" w:rsidP="00B176A3">
      <w:r>
        <w:t xml:space="preserve">For any coverage planning it is </w:t>
      </w:r>
      <w:r>
        <w:rPr>
          <w:i/>
        </w:rPr>
        <w:t>essential</w:t>
      </w:r>
      <w:r>
        <w:t xml:space="preserve"> to determine the desired or </w:t>
      </w:r>
      <w:r>
        <w:rPr>
          <w:i/>
        </w:rPr>
        <w:t>Nominal Coverage Area</w:t>
      </w:r>
      <w:r>
        <w:t xml:space="preserve"> for the service under consideration. The nominal coverage area definition offers benefits for</w:t>
      </w:r>
    </w:p>
    <w:p w14:paraId="60D35C03" w14:textId="77777777" w:rsidR="00B176A3" w:rsidRDefault="00B176A3" w:rsidP="00B176A3">
      <w:pPr>
        <w:numPr>
          <w:ilvl w:val="0"/>
          <w:numId w:val="32"/>
        </w:numPr>
      </w:pPr>
      <w:r>
        <w:rPr>
          <w:i/>
        </w:rPr>
        <w:t>the management decision making process, even before starting the planning:</w:t>
      </w:r>
      <w:r>
        <w:t xml:space="preserve"> The Nominal Coverage Area provides a clean-cut service statement in operational and management terms within the competent authority and to the public;</w:t>
      </w:r>
    </w:p>
    <w:p w14:paraId="277DC345" w14:textId="77777777" w:rsidR="00B176A3" w:rsidRDefault="00B176A3" w:rsidP="00B176A3"/>
    <w:p w14:paraId="1EB9024A" w14:textId="77777777" w:rsidR="00B176A3" w:rsidRDefault="00B176A3" w:rsidP="00B176A3">
      <w:pPr>
        <w:numPr>
          <w:ilvl w:val="0"/>
          <w:numId w:val="32"/>
        </w:numPr>
      </w:pPr>
      <w:r>
        <w:rPr>
          <w:i/>
        </w:rPr>
        <w:t xml:space="preserve">the regulatory and even legal framework </w:t>
      </w:r>
      <w:r>
        <w:t xml:space="preserve">for any and all aspects of the service related to geographical coverage, including mutual agreements between </w:t>
      </w:r>
      <w:proofErr w:type="spellStart"/>
      <w:r>
        <w:t>neighboring</w:t>
      </w:r>
      <w:proofErr w:type="spellEnd"/>
      <w:r>
        <w:t xml:space="preserve"> competent authorities of different countries;</w:t>
      </w:r>
    </w:p>
    <w:p w14:paraId="3A998AA7" w14:textId="77777777" w:rsidR="00B176A3" w:rsidRDefault="00B176A3" w:rsidP="00B176A3"/>
    <w:p w14:paraId="2F69043B" w14:textId="77777777" w:rsidR="00B176A3" w:rsidRDefault="00B176A3" w:rsidP="00B176A3">
      <w:pPr>
        <w:numPr>
          <w:ilvl w:val="0"/>
          <w:numId w:val="32"/>
        </w:numPr>
      </w:pPr>
      <w:proofErr w:type="gramStart"/>
      <w:r>
        <w:rPr>
          <w:i/>
        </w:rPr>
        <w:t>the</w:t>
      </w:r>
      <w:proofErr w:type="gramEnd"/>
      <w:r>
        <w:rPr>
          <w:i/>
        </w:rPr>
        <w:t xml:space="preserve"> foundational framework for any planning and/or run-time calculation of quality features</w:t>
      </w:r>
      <w:r>
        <w:t xml:space="preserve"> of the service such as service reliability and continuity: In most cases the amount of data to be calculated by the service is dependent on its coverage area in some way. The amount of data to be processed has direct bearing on the resources needed, in </w:t>
      </w:r>
      <w:r>
        <w:lastRenderedPageBreak/>
        <w:t>particular if the data processing is distributed geographically. This in turn has a bearing on quality features like service reliability and continuity of the data processing;</w:t>
      </w:r>
    </w:p>
    <w:p w14:paraId="6AD423EC" w14:textId="77777777" w:rsidR="00B176A3" w:rsidRDefault="00B176A3" w:rsidP="00B176A3"/>
    <w:p w14:paraId="6773026D" w14:textId="77777777" w:rsidR="00B176A3" w:rsidRDefault="00B176A3" w:rsidP="00B176A3">
      <w:pPr>
        <w:numPr>
          <w:ilvl w:val="0"/>
          <w:numId w:val="32"/>
        </w:numPr>
      </w:pPr>
      <w:r>
        <w:rPr>
          <w:i/>
        </w:rPr>
        <w:t>the effective exclusion of unwanted or unknown fluctuations over time or time-variants when integrating the service into the shore-based e-Navigation system</w:t>
      </w:r>
      <w:r>
        <w:t>: The Nominal Coverage Area effectively hides any unwanted but technology-specific fluctuations of the service’s coverage area over time to other services of the shore-based e-Navigation system, if it is determined in such a way that it covers that area for which data can be gathered, processed or distributed with the required reliability;</w:t>
      </w:r>
    </w:p>
    <w:p w14:paraId="42310CCE" w14:textId="77777777" w:rsidR="00B176A3" w:rsidRDefault="00B176A3" w:rsidP="00B176A3"/>
    <w:p w14:paraId="6EC50251" w14:textId="77777777" w:rsidR="00B176A3" w:rsidRDefault="00B176A3" w:rsidP="00B176A3">
      <w:pPr>
        <w:numPr>
          <w:ilvl w:val="0"/>
          <w:numId w:val="32"/>
        </w:numPr>
      </w:pPr>
      <w:r>
        <w:rPr>
          <w:i/>
        </w:rPr>
        <w:t>the functionality definition of components of the service</w:t>
      </w:r>
      <w:r>
        <w:t xml:space="preserve">: The Nominal Coverage Area provides a means to support computerized algorithms regarding </w:t>
      </w:r>
    </w:p>
    <w:p w14:paraId="16F6C235" w14:textId="77777777" w:rsidR="00B176A3" w:rsidRDefault="00B176A3" w:rsidP="00B176A3">
      <w:pPr>
        <w:numPr>
          <w:ilvl w:val="0"/>
          <w:numId w:val="33"/>
        </w:numPr>
      </w:pPr>
      <w:r>
        <w:rPr>
          <w:i/>
        </w:rPr>
        <w:t>for all kind of services:</w:t>
      </w:r>
      <w:r>
        <w:t xml:space="preserve"> selecting data only from areas of interest to the requesting service or to the user;  </w:t>
      </w:r>
    </w:p>
    <w:p w14:paraId="13852A92" w14:textId="77777777" w:rsidR="00B176A3" w:rsidRDefault="00B176A3" w:rsidP="00B176A3">
      <w:pPr>
        <w:numPr>
          <w:ilvl w:val="0"/>
          <w:numId w:val="33"/>
        </w:numPr>
      </w:pPr>
      <w:r>
        <w:rPr>
          <w:i/>
        </w:rPr>
        <w:t xml:space="preserve">in the case of services with Physical Links: </w:t>
      </w:r>
      <w:r>
        <w:t>message reception evaluation and message transmission routing within the service under consideration;</w:t>
      </w:r>
    </w:p>
    <w:p w14:paraId="76BEE92B" w14:textId="77777777" w:rsidR="00B176A3" w:rsidRDefault="00B176A3" w:rsidP="00B176A3"/>
    <w:p w14:paraId="1504176D" w14:textId="77777777" w:rsidR="00B176A3" w:rsidRDefault="00B176A3" w:rsidP="00B176A3">
      <w:pPr>
        <w:numPr>
          <w:ilvl w:val="0"/>
          <w:numId w:val="32"/>
        </w:numPr>
      </w:pPr>
      <w:r>
        <w:rPr>
          <w:i/>
        </w:rPr>
        <w:t xml:space="preserve">the specific planning of RSS locations in the case of a service with a Physical Layer: </w:t>
      </w:r>
      <w:r>
        <w:t>The Nominal Coverage Area provides the most important criteria for determining location(s) and numbers of Remote Shore Stations (RSS) of the service under consideration, taking into account technology specifics of its Physical Link(s);</w:t>
      </w:r>
    </w:p>
    <w:p w14:paraId="59036D5D" w14:textId="77777777" w:rsidR="00B176A3" w:rsidRDefault="00B176A3" w:rsidP="00B176A3"/>
    <w:p w14:paraId="73876E89" w14:textId="77777777" w:rsidR="00B176A3" w:rsidRDefault="00B176A3" w:rsidP="00B176A3">
      <w:pPr>
        <w:numPr>
          <w:ilvl w:val="0"/>
          <w:numId w:val="34"/>
        </w:numPr>
      </w:pPr>
      <w:proofErr w:type="gramStart"/>
      <w:r>
        <w:rPr>
          <w:i/>
        </w:rPr>
        <w:t>the</w:t>
      </w:r>
      <w:proofErr w:type="gramEnd"/>
      <w:r>
        <w:rPr>
          <w:i/>
        </w:rPr>
        <w:t xml:space="preserve"> reduction of complexity</w:t>
      </w:r>
      <w:r>
        <w:t xml:space="preserve"> for the shore-based e-Navigation system by supporting the </w:t>
      </w:r>
      <w:r>
        <w:rPr>
          <w:i/>
        </w:rPr>
        <w:t>encapsulation principle</w:t>
      </w:r>
      <w:r>
        <w:t>.</w:t>
      </w:r>
    </w:p>
    <w:p w14:paraId="2DA8713C" w14:textId="77777777" w:rsidR="00B176A3" w:rsidRDefault="00B176A3" w:rsidP="00B176A3">
      <w:pPr>
        <w:pStyle w:val="Formatvorlageberschrift3BlockLinks0cmHngend127cm1"/>
        <w:numPr>
          <w:ilvl w:val="2"/>
          <w:numId w:val="18"/>
        </w:numPr>
        <w:tabs>
          <w:tab w:val="num" w:pos="360"/>
        </w:tabs>
        <w:ind w:left="360" w:hanging="360"/>
      </w:pPr>
      <w:bookmarkStart w:id="31" w:name="_Toc395604436"/>
      <w:r>
        <w:t>Features of the Nominal Coverage Area</w:t>
      </w:r>
      <w:bookmarkEnd w:id="31"/>
      <w:r>
        <w:t xml:space="preserve"> </w:t>
      </w:r>
    </w:p>
    <w:p w14:paraId="320CE131" w14:textId="77777777" w:rsidR="00B176A3" w:rsidRDefault="00B176A3" w:rsidP="00B176A3">
      <w:r>
        <w:t>Important features of the Nominal Coverage Area are:</w:t>
      </w:r>
    </w:p>
    <w:p w14:paraId="3327D8D6" w14:textId="77777777" w:rsidR="00B176A3" w:rsidRDefault="00B176A3" w:rsidP="00B176A3">
      <w:pPr>
        <w:numPr>
          <w:ilvl w:val="0"/>
          <w:numId w:val="35"/>
        </w:numPr>
      </w:pPr>
      <w:r>
        <w:t xml:space="preserve">It can </w:t>
      </w:r>
      <w:r>
        <w:rPr>
          <w:i/>
        </w:rPr>
        <w:t>always</w:t>
      </w:r>
      <w:r>
        <w:t xml:space="preserve"> be </w:t>
      </w:r>
      <w:r>
        <w:rPr>
          <w:i/>
        </w:rPr>
        <w:t>stated</w:t>
      </w:r>
      <w:r>
        <w:t xml:space="preserve"> </w:t>
      </w:r>
      <w:r>
        <w:rPr>
          <w:i/>
        </w:rPr>
        <w:t>in precise terms</w:t>
      </w:r>
      <w:r>
        <w:t xml:space="preserve">, e. g. by one or more polygon(s) of geographical co-ordinates. </w:t>
      </w:r>
    </w:p>
    <w:p w14:paraId="1AB660E3" w14:textId="77777777" w:rsidR="00B176A3" w:rsidRDefault="00B176A3" w:rsidP="00B176A3"/>
    <w:p w14:paraId="61AFA174" w14:textId="77777777" w:rsidR="00B176A3" w:rsidRDefault="00B176A3" w:rsidP="00B176A3">
      <w:pPr>
        <w:numPr>
          <w:ilvl w:val="0"/>
          <w:numId w:val="35"/>
        </w:numPr>
      </w:pPr>
      <w:r>
        <w:t xml:space="preserve">It is a </w:t>
      </w:r>
      <w:r>
        <w:rPr>
          <w:i/>
        </w:rPr>
        <w:t>simple means</w:t>
      </w:r>
      <w:r>
        <w:t xml:space="preserve"> </w:t>
      </w:r>
      <w:r>
        <w:rPr>
          <w:i/>
        </w:rPr>
        <w:t>to exchange the coverage area designation</w:t>
      </w:r>
      <w:r>
        <w:t xml:space="preserve"> between stakeholders of the AIS Service (humans and/or organizations and/or machines). </w:t>
      </w:r>
    </w:p>
    <w:p w14:paraId="29D1D9CD" w14:textId="77777777" w:rsidR="00B176A3" w:rsidRDefault="00B176A3" w:rsidP="00B176A3"/>
    <w:p w14:paraId="729D4E35" w14:textId="77777777" w:rsidR="00B176A3" w:rsidRDefault="00B176A3" w:rsidP="00B176A3">
      <w:pPr>
        <w:numPr>
          <w:ilvl w:val="0"/>
          <w:numId w:val="35"/>
        </w:numPr>
      </w:pPr>
      <w:r>
        <w:t xml:space="preserve">It must be defined </w:t>
      </w:r>
      <w:r>
        <w:rPr>
          <w:i/>
        </w:rPr>
        <w:t xml:space="preserve">always smaller </w:t>
      </w:r>
      <w:r>
        <w:t>than</w:t>
      </w:r>
      <w:r>
        <w:rPr>
          <w:i/>
        </w:rPr>
        <w:t xml:space="preserve"> </w:t>
      </w:r>
      <w:r>
        <w:t>the coverage theoretically predicted and/or physically achieved by the Physical Layer of the service. In this case, it must be defined</w:t>
      </w:r>
      <w:r>
        <w:rPr>
          <w:i/>
        </w:rPr>
        <w:t xml:space="preserve"> such smaller</w:t>
      </w:r>
      <w:r>
        <w:t xml:space="preserve"> than the theoretical coverage predictions would allow for, to meet the desired quality features within the resulting Nominal Coverage Area. To put it in another way: There will not be reliable data transmission receptions at the margins.</w:t>
      </w:r>
    </w:p>
    <w:p w14:paraId="17CE4510" w14:textId="77777777" w:rsidR="00B176A3" w:rsidRDefault="00B176A3" w:rsidP="00B176A3"/>
    <w:p w14:paraId="5F3C2963" w14:textId="77777777" w:rsidR="00B176A3" w:rsidRDefault="00B176A3" w:rsidP="00B176A3">
      <w:r>
        <w:t xml:space="preserve">It should be noted, that the concept of Nominal Coverage Areas is both required and beneficial for </w:t>
      </w:r>
      <w:r>
        <w:rPr>
          <w:i/>
        </w:rPr>
        <w:t xml:space="preserve">data </w:t>
      </w:r>
      <w:proofErr w:type="spellStart"/>
      <w:r>
        <w:rPr>
          <w:i/>
        </w:rPr>
        <w:t>modeling</w:t>
      </w:r>
      <w:proofErr w:type="spellEnd"/>
      <w:r>
        <w:t xml:space="preserve"> within and external to the service under consideration.</w:t>
      </w:r>
    </w:p>
    <w:p w14:paraId="220CAC1C" w14:textId="77777777" w:rsidR="00B176A3" w:rsidRDefault="00B176A3" w:rsidP="00B176A3">
      <w:pPr>
        <w:pStyle w:val="Formatvorlageberschrift3BlockLinks0cmHngend127cm1"/>
        <w:numPr>
          <w:ilvl w:val="2"/>
          <w:numId w:val="18"/>
        </w:numPr>
        <w:tabs>
          <w:tab w:val="num" w:pos="360"/>
        </w:tabs>
        <w:ind w:left="360" w:hanging="360"/>
      </w:pPr>
      <w:bookmarkStart w:id="32" w:name="_Toc395604437"/>
      <w:r>
        <w:t>Definition of Nominal Coverage Areas for the service under consideration</w:t>
      </w:r>
      <w:bookmarkEnd w:id="32"/>
    </w:p>
    <w:p w14:paraId="5B336C49" w14:textId="77777777" w:rsidR="00B176A3" w:rsidRDefault="00B176A3" w:rsidP="00B176A3">
      <w:r>
        <w:t>Taking into account the Structure Model (refer to Main Body of this Recommendation), a Nominal Coverage Area can be defined for both the service as a whole and in addition for relevant functional components of the service. Hence, the following definitions are required:</w:t>
      </w:r>
    </w:p>
    <w:p w14:paraId="5ECE1C9C" w14:textId="77777777" w:rsidR="00B176A3" w:rsidRDefault="00B176A3" w:rsidP="00B176A3">
      <w:pPr>
        <w:numPr>
          <w:ilvl w:val="0"/>
          <w:numId w:val="36"/>
        </w:numPr>
      </w:pPr>
      <w:r>
        <w:t xml:space="preserve">The </w:t>
      </w:r>
      <w:r>
        <w:rPr>
          <w:b/>
          <w:i/>
        </w:rPr>
        <w:t>Service Coverage Area</w:t>
      </w:r>
      <w:r>
        <w:t xml:space="preserve"> is the Nominal Coverage Area of the whole of the service under consideration. In the case of a service with a Physical Layer the Service Coverage Area </w:t>
      </w:r>
      <w:r>
        <w:rPr>
          <w:i/>
        </w:rPr>
        <w:t>always</w:t>
      </w:r>
      <w:r>
        <w:t xml:space="preserve"> is the inclusive overlay sum of all the PSS Coverage Areas (see below) of the service. In the case of a service without a Physical Layer, the Service Coverage Area is the area of responsibility of the administration setting up the service by default. By definition, the Service Management always operates within the full Service Coverage Area. Hence, the Service Coverage Area is particularly relevant for the Service Management.</w:t>
      </w:r>
    </w:p>
    <w:p w14:paraId="242C82B0" w14:textId="77777777" w:rsidR="00B176A3" w:rsidRDefault="00B176A3" w:rsidP="00B176A3">
      <w:pPr>
        <w:rPr>
          <w:highlight w:val="yellow"/>
        </w:rPr>
      </w:pPr>
    </w:p>
    <w:p w14:paraId="5A9E50A2" w14:textId="77777777" w:rsidR="00B176A3" w:rsidRDefault="00B176A3" w:rsidP="00B176A3">
      <w:pPr>
        <w:numPr>
          <w:ilvl w:val="0"/>
          <w:numId w:val="36"/>
        </w:numPr>
      </w:pPr>
      <w:r>
        <w:t xml:space="preserve">The </w:t>
      </w:r>
      <w:r>
        <w:rPr>
          <w:b/>
          <w:i/>
        </w:rPr>
        <w:t>LSS Coverage Area</w:t>
      </w:r>
      <w:r>
        <w:t xml:space="preserve"> is the Nominal Coverage Area of one instance of the Logical Shore Station (LSS). This is the area for which the requesting service of the shore-based e-Navigation system configures the requested Basic Services, and this is the area for which the service delivers the Basic Services to that requesting service. For a given instance of the LSS, the LSS Coverage Area can comprise any subset of the Service Coverage Area or can be set equal to the Service Coverage Area.</w:t>
      </w:r>
    </w:p>
    <w:p w14:paraId="0688479F" w14:textId="77777777" w:rsidR="00B176A3" w:rsidRDefault="00B176A3" w:rsidP="00B176A3">
      <w:pPr>
        <w:rPr>
          <w:highlight w:val="yellow"/>
        </w:rPr>
      </w:pPr>
    </w:p>
    <w:p w14:paraId="35306066" w14:textId="77777777" w:rsidR="00B176A3" w:rsidRDefault="00B176A3" w:rsidP="00B176A3">
      <w:pPr>
        <w:numPr>
          <w:ilvl w:val="0"/>
          <w:numId w:val="36"/>
        </w:numPr>
      </w:pPr>
      <w:r>
        <w:t xml:space="preserve">The </w:t>
      </w:r>
      <w:r>
        <w:rPr>
          <w:b/>
          <w:i/>
        </w:rPr>
        <w:t>PSS Coverage Area</w:t>
      </w:r>
      <w:r>
        <w:t xml:space="preserve"> is the Nominal Coverage Area of one Remote Shore Station (RSS) of the service with a Physical Layer under consideration: Within the Physical Layer of the service it is the PSS which performs the appropriate algorithms related to the Nominal Coverage Area of one Remote Shore Station (RSS). Hence, the PSS Coverage Area could also be correctly called </w:t>
      </w:r>
      <w:r>
        <w:rPr>
          <w:b/>
          <w:i/>
        </w:rPr>
        <w:t>RSS Coverage Area</w:t>
      </w:r>
      <w:r>
        <w:t>. Regularly, the size of the PSS Coverage Area is the inclusive overlay sum of all Sector Coverage Areas of the RSS under consideration, but it can be also defined smaller than that inclusive overlay sum.</w:t>
      </w:r>
    </w:p>
    <w:p w14:paraId="1BEF0764" w14:textId="77777777" w:rsidR="00B176A3" w:rsidRDefault="00B176A3" w:rsidP="00B176A3">
      <w:pPr>
        <w:rPr>
          <w:highlight w:val="yellow"/>
        </w:rPr>
      </w:pPr>
    </w:p>
    <w:p w14:paraId="3BFB551B" w14:textId="77777777" w:rsidR="00B176A3" w:rsidRDefault="00B176A3" w:rsidP="00B176A3">
      <w:pPr>
        <w:numPr>
          <w:ilvl w:val="0"/>
          <w:numId w:val="36"/>
        </w:numPr>
      </w:pPr>
      <w:r>
        <w:t xml:space="preserve">The </w:t>
      </w:r>
      <w:r>
        <w:rPr>
          <w:b/>
          <w:i/>
        </w:rPr>
        <w:t>Sector Coverage Area</w:t>
      </w:r>
      <w:r>
        <w:t xml:space="preserve"> is the Nominal Coverage Area of an individual sector of a Remote Shore Station (RSS) of the service under consideration. The Sector Coverage Area of a given sector is determined by the Physical Link Couplers in that sector, although the sector also comprises the Physical Link Terminal Equipment (PLTE) Layer of the sector under consideration. The Sector Coverage Area allows for space/direction diversity regarding the range / coverage. While there are often several Sector Coverage Areas defined for one RSS, conceptually wise there may be only one sector in a given RSS, which may be called a One-Sector RSS. The Sector Coverage Area of a given sector is generally based on technology-specific range calculations and/or predictions, but a smaller area than theoretically calculated or predicted is generally used. </w:t>
      </w:r>
    </w:p>
    <w:p w14:paraId="33FCB51E" w14:textId="77777777" w:rsidR="00B176A3" w:rsidRDefault="00B176A3" w:rsidP="00B176A3">
      <w:pPr>
        <w:rPr>
          <w:highlight w:val="yellow"/>
        </w:rPr>
      </w:pPr>
    </w:p>
    <w:p w14:paraId="00BCFE3E" w14:textId="77777777" w:rsidR="00B176A3" w:rsidRDefault="00B176A3" w:rsidP="00B176A3">
      <w:r>
        <w:t xml:space="preserve">Note: </w:t>
      </w:r>
      <w:r>
        <w:rPr>
          <w:i/>
        </w:rPr>
        <w:t xml:space="preserve">There is </w:t>
      </w:r>
      <w:r>
        <w:rPr>
          <w:b/>
          <w:i/>
        </w:rPr>
        <w:t>no</w:t>
      </w:r>
      <w:r>
        <w:rPr>
          <w:i/>
        </w:rPr>
        <w:t xml:space="preserve"> Nominal Coverage Area defined for the Physical Link Terminal Equipment Layer</w:t>
      </w:r>
      <w:r>
        <w:t>: It is the common feature of the Physical Link Terminal Equipment to offer at their Presentation Interface to the PSS everything they have received physically and/or which was meant for them. When transmitting, any data which is forwarded to a Physical Link Terminal Equipment for transmission will be received within the area solely determined by the Physical Link Couplers Layer. Hence, the Physical Link Terminal Equipment is transparent as far as Nominal Coverage Area is concerned.</w:t>
      </w:r>
    </w:p>
    <w:p w14:paraId="6D7248CB" w14:textId="77777777" w:rsidR="00B176A3" w:rsidRDefault="00B176A3" w:rsidP="00B176A3">
      <w:pPr>
        <w:pStyle w:val="Formatvorlageberschrift3BlockLinks0cmHngend127cm1"/>
        <w:numPr>
          <w:ilvl w:val="2"/>
          <w:numId w:val="18"/>
        </w:numPr>
        <w:tabs>
          <w:tab w:val="num" w:pos="360"/>
        </w:tabs>
        <w:ind w:left="360" w:hanging="360"/>
      </w:pPr>
      <w:bookmarkStart w:id="33" w:name="_Toc395604438"/>
      <w:r>
        <w:t>Receive Nominal Coverage Area vs. Transmit Nominal Coverage Area</w:t>
      </w:r>
      <w:bookmarkEnd w:id="33"/>
    </w:p>
    <w:p w14:paraId="545F7D65" w14:textId="77777777" w:rsidR="00B176A3" w:rsidRDefault="00B176A3" w:rsidP="00B176A3">
      <w:r>
        <w:t xml:space="preserve">Many services of the shore-based e-Navigation system are capable of data distribution in </w:t>
      </w:r>
      <w:proofErr w:type="gramStart"/>
      <w:r>
        <w:t>both directions</w:t>
      </w:r>
      <w:proofErr w:type="gramEnd"/>
      <w:r>
        <w:t>, “receiving” and “transmitting”. Some services may only “receive”, while others may only “transmit”. The conventional terminology of services with Physical Layers is generalized to convey a precise meaning for all services of the common shore-based e-Navigation architecture as follows:</w:t>
      </w:r>
    </w:p>
    <w:p w14:paraId="6E5A756A" w14:textId="77777777" w:rsidR="00B176A3" w:rsidRDefault="00B176A3" w:rsidP="00B176A3">
      <w:pPr>
        <w:numPr>
          <w:ilvl w:val="0"/>
          <w:numId w:val="34"/>
        </w:numPr>
      </w:pPr>
      <w:r>
        <w:rPr>
          <w:b/>
        </w:rPr>
        <w:t xml:space="preserve">“Receiving”: </w:t>
      </w:r>
      <w:r>
        <w:t xml:space="preserve">Data distribution takes place in the </w:t>
      </w:r>
      <w:r>
        <w:rPr>
          <w:b/>
          <w:i/>
        </w:rPr>
        <w:t>data flow direction</w:t>
      </w:r>
      <w:r>
        <w:t xml:space="preserve"> </w:t>
      </w:r>
      <w:r>
        <w:rPr>
          <w:b/>
          <w:i/>
        </w:rPr>
        <w:t>from bottom of the service to top</w:t>
      </w:r>
      <w:r>
        <w:t xml:space="preserve"> of the service under consideration (“own service”), compare Structure Model. This means </w:t>
      </w:r>
    </w:p>
    <w:p w14:paraId="1F5748AA" w14:textId="77777777" w:rsidR="00B176A3" w:rsidRDefault="00B176A3" w:rsidP="00B176A3">
      <w:pPr>
        <w:numPr>
          <w:ilvl w:val="0"/>
          <w:numId w:val="37"/>
        </w:numPr>
      </w:pPr>
      <w:r>
        <w:rPr>
          <w:i/>
        </w:rPr>
        <w:t>for services with a Physical Layer:</w:t>
      </w:r>
      <w:r>
        <w:t xml:space="preserve"> The Physical Layer receives signals from the Physical Link and forwards data derived from the signals to the requesting service via the Logical Layer (External Basic Services) or to the Service Management (Internal Basic Services). </w:t>
      </w:r>
    </w:p>
    <w:p w14:paraId="728B5D79" w14:textId="77777777" w:rsidR="00B176A3" w:rsidRDefault="00B176A3" w:rsidP="00B176A3">
      <w:pPr>
        <w:numPr>
          <w:ilvl w:val="0"/>
          <w:numId w:val="37"/>
        </w:numPr>
      </w:pPr>
      <w:proofErr w:type="gramStart"/>
      <w:r>
        <w:rPr>
          <w:i/>
        </w:rPr>
        <w:t>for</w:t>
      </w:r>
      <w:proofErr w:type="gramEnd"/>
      <w:r>
        <w:rPr>
          <w:i/>
        </w:rPr>
        <w:t xml:space="preserve"> services without a Physical Layer: </w:t>
      </w:r>
      <w:r>
        <w:t>The own service receives data from other services requested by own service, i.e. from requested services, and data is forwarded to the requesting service or the user via the Logical Layer (External Basic Services) or to the Service Management (Internal Basic Services).</w:t>
      </w:r>
    </w:p>
    <w:p w14:paraId="678DE23E" w14:textId="77777777" w:rsidR="00B176A3" w:rsidRDefault="00B176A3" w:rsidP="00B176A3">
      <w:pPr>
        <w:ind w:left="360"/>
      </w:pPr>
    </w:p>
    <w:p w14:paraId="492D44F5" w14:textId="77777777" w:rsidR="00B176A3" w:rsidRDefault="00B176A3" w:rsidP="00B176A3">
      <w:pPr>
        <w:numPr>
          <w:ilvl w:val="0"/>
          <w:numId w:val="34"/>
        </w:numPr>
      </w:pPr>
      <w:r>
        <w:rPr>
          <w:b/>
        </w:rPr>
        <w:lastRenderedPageBreak/>
        <w:t xml:space="preserve">“Transmitting”: </w:t>
      </w:r>
      <w:r>
        <w:t xml:space="preserve">Data distribution takes place in the </w:t>
      </w:r>
      <w:r>
        <w:rPr>
          <w:b/>
          <w:i/>
        </w:rPr>
        <w:t>data flow direction from top of the service to bottom</w:t>
      </w:r>
      <w:r>
        <w:t xml:space="preserve"> of the service under consideration (“own service”), compare Structure Model. This means </w:t>
      </w:r>
    </w:p>
    <w:p w14:paraId="68BB3C13" w14:textId="77777777" w:rsidR="00B176A3" w:rsidRDefault="00B176A3" w:rsidP="00B176A3">
      <w:pPr>
        <w:numPr>
          <w:ilvl w:val="0"/>
          <w:numId w:val="37"/>
        </w:numPr>
      </w:pPr>
      <w:r>
        <w:rPr>
          <w:i/>
        </w:rPr>
        <w:t>for services with a Physical Layer:</w:t>
      </w:r>
      <w:r>
        <w:t xml:space="preserve"> The Physical Layer </w:t>
      </w:r>
      <w:r>
        <w:rPr>
          <w:i/>
        </w:rPr>
        <w:t>transmits</w:t>
      </w:r>
      <w:r>
        <w:t xml:space="preserve"> </w:t>
      </w:r>
      <w:r>
        <w:rPr>
          <w:i/>
        </w:rPr>
        <w:t>signals</w:t>
      </w:r>
      <w:r>
        <w:t xml:space="preserve"> </w:t>
      </w:r>
      <w:r>
        <w:rPr>
          <w:i/>
        </w:rPr>
        <w:t>to the Physical Link(s)</w:t>
      </w:r>
      <w:r>
        <w:t xml:space="preserve"> by using data received from the requesting service via the Logical Layer (External Basic Services) or from the Service Management (Internal Basic Services). </w:t>
      </w:r>
    </w:p>
    <w:p w14:paraId="71FC9345" w14:textId="77777777" w:rsidR="00B176A3" w:rsidRDefault="00B176A3" w:rsidP="00B176A3">
      <w:pPr>
        <w:numPr>
          <w:ilvl w:val="0"/>
          <w:numId w:val="37"/>
        </w:numPr>
      </w:pPr>
      <w:r>
        <w:rPr>
          <w:i/>
        </w:rPr>
        <w:t xml:space="preserve">for services without a Physical Layer: </w:t>
      </w:r>
      <w:r>
        <w:t xml:space="preserve">The own service </w:t>
      </w:r>
      <w:r>
        <w:rPr>
          <w:i/>
        </w:rPr>
        <w:t>sends</w:t>
      </w:r>
      <w:r>
        <w:t xml:space="preserve"> </w:t>
      </w:r>
      <w:r>
        <w:rPr>
          <w:i/>
        </w:rPr>
        <w:t>data</w:t>
      </w:r>
      <w:r>
        <w:t xml:space="preserve"> to other services </w:t>
      </w:r>
      <w:r>
        <w:rPr>
          <w:i/>
        </w:rPr>
        <w:t>requested</w:t>
      </w:r>
      <w:r>
        <w:t xml:space="preserve"> by own service, i.e. </w:t>
      </w:r>
      <w:r>
        <w:rPr>
          <w:i/>
        </w:rPr>
        <w:t>to requested services</w:t>
      </w:r>
      <w:r>
        <w:t>, based on received data from a requesting service or the user via the Logical Layer (External Basic Services) or from the Service Management (Internal Basic Services).</w:t>
      </w:r>
    </w:p>
    <w:p w14:paraId="01AAAD44" w14:textId="77777777" w:rsidR="00B176A3" w:rsidRDefault="00B176A3" w:rsidP="00B176A3">
      <w:pPr>
        <w:ind w:left="360"/>
      </w:pPr>
    </w:p>
    <w:p w14:paraId="0BC5AC19" w14:textId="77777777" w:rsidR="00B176A3" w:rsidRDefault="00B176A3" w:rsidP="00B176A3">
      <w:r>
        <w:t xml:space="preserve">While there are always implicitly defined both </w:t>
      </w:r>
      <w:proofErr w:type="gramStart"/>
      <w:r>
        <w:t>Receive</w:t>
      </w:r>
      <w:proofErr w:type="gramEnd"/>
      <w:r>
        <w:t xml:space="preserve"> and Transmit Nominal Coverage Areas for every relevant entity for ontological reasons, which are equated by default. The Receive and Transmit Nominal Coverage Areas may be different, also regarding different entities of the service under consideration. Hence, there may be a Receive and distinct a Transmit Service Coverage Area, a Receive and distinct Transmit LSS Coverage Area for the same instance of an LSS, a Receive and a distinct Transmit PSS Coverage Area for the same PSS, and so forth. It is recommended, however, to only deviate from that default when there is a good justification.</w:t>
      </w:r>
    </w:p>
    <w:p w14:paraId="3967FCDF" w14:textId="77777777" w:rsidR="00B176A3" w:rsidRDefault="00B176A3" w:rsidP="00B176A3"/>
    <w:p w14:paraId="655CD3E9" w14:textId="77777777" w:rsidR="00B176A3" w:rsidRDefault="00B176A3" w:rsidP="00B176A3">
      <w:r>
        <w:t>There can be receive-only Remote Shore Station (RSS) configurations.</w:t>
      </w:r>
    </w:p>
    <w:p w14:paraId="353A8B8E" w14:textId="77777777" w:rsidR="00B176A3" w:rsidRDefault="00B176A3" w:rsidP="00B176A3"/>
    <w:p w14:paraId="22088E5F" w14:textId="77777777" w:rsidR="00B176A3" w:rsidRDefault="00B176A3" w:rsidP="00B176A3">
      <w:r>
        <w:t>There can be transmit-only Remote Shore Station (RSS) configurations.</w:t>
      </w:r>
    </w:p>
    <w:p w14:paraId="3D4A8670" w14:textId="77777777" w:rsidR="00B176A3" w:rsidRDefault="00B176A3" w:rsidP="00B176A3">
      <w:r>
        <w:t xml:space="preserve">It should be noted, that Transmit Nominal Coverage Areas of the same instance of an entity of the service </w:t>
      </w:r>
      <w:r>
        <w:rPr>
          <w:i/>
        </w:rPr>
        <w:t>should not overlap</w:t>
      </w:r>
      <w:r>
        <w:t xml:space="preserve"> in order to avoid ambiguity.</w:t>
      </w:r>
    </w:p>
    <w:p w14:paraId="6F144BCE" w14:textId="77777777" w:rsidR="00B176A3" w:rsidRDefault="00B176A3" w:rsidP="00B176A3">
      <w:pPr>
        <w:pStyle w:val="Formatvorlageberschrift3BlockLinks0cmHngend127cm1"/>
        <w:numPr>
          <w:ilvl w:val="2"/>
          <w:numId w:val="18"/>
        </w:numPr>
        <w:tabs>
          <w:tab w:val="num" w:pos="360"/>
        </w:tabs>
        <w:ind w:left="360" w:hanging="360"/>
      </w:pPr>
      <w:bookmarkStart w:id="34" w:name="_Toc395604439"/>
      <w:r>
        <w:t>Visibility and encapsulation of Nominal Coverage Area definitions</w:t>
      </w:r>
      <w:bookmarkEnd w:id="34"/>
    </w:p>
    <w:p w14:paraId="78AD04DC" w14:textId="77777777" w:rsidR="00B176A3" w:rsidRDefault="00B176A3" w:rsidP="00B176A3">
      <w:r>
        <w:t xml:space="preserve">The following table summarizes features of the above Nominal Coverage Area definitions in </w:t>
      </w:r>
    </w:p>
    <w:p w14:paraId="20A062D6" w14:textId="77777777" w:rsidR="00B176A3" w:rsidRDefault="00B176A3" w:rsidP="00B176A3">
      <w:proofErr w:type="gramStart"/>
      <w:r>
        <w:t>terms</w:t>
      </w:r>
      <w:proofErr w:type="gramEnd"/>
      <w:r>
        <w:t xml:space="preserve"> of the visibility or encapsulation.</w:t>
      </w:r>
    </w:p>
    <w:p w14:paraId="43FC6969" w14:textId="77777777" w:rsidR="00B176A3" w:rsidRDefault="00B176A3" w:rsidP="00B176A3">
      <w:pPr>
        <w:rPr>
          <w:b/>
          <w:u w:val="single"/>
        </w:rPr>
      </w:pPr>
    </w:p>
    <w:p w14:paraId="4564A76D" w14:textId="77777777" w:rsidR="00B176A3" w:rsidRDefault="00B176A3" w:rsidP="00B176A3">
      <w:pPr>
        <w:rPr>
          <w:b/>
          <w:u w:val="single"/>
        </w:rPr>
      </w:pPr>
      <w:r>
        <w:rPr>
          <w:b/>
          <w:u w:val="single"/>
        </w:rPr>
        <w:t xml:space="preserve">Table A3.2: Visibility and encapsulation of Nominal Coverage Areas </w:t>
      </w:r>
    </w:p>
    <w:p w14:paraId="4177E8F9" w14:textId="77777777" w:rsidR="00B176A3" w:rsidRDefault="00B176A3" w:rsidP="00B176A3"/>
    <w:tbl>
      <w:tblPr>
        <w:tblW w:w="1024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88"/>
        <w:gridCol w:w="2160"/>
        <w:gridCol w:w="1676"/>
        <w:gridCol w:w="1980"/>
        <w:gridCol w:w="2340"/>
      </w:tblGrid>
      <w:tr w:rsidR="00B176A3" w14:paraId="73EBFB25" w14:textId="77777777" w:rsidTr="00B176A3">
        <w:tc>
          <w:tcPr>
            <w:tcW w:w="2088" w:type="dxa"/>
            <w:tcBorders>
              <w:top w:val="single" w:sz="4" w:space="0" w:color="auto"/>
              <w:left w:val="single" w:sz="4" w:space="0" w:color="auto"/>
              <w:bottom w:val="single" w:sz="4" w:space="0" w:color="auto"/>
              <w:right w:val="single" w:sz="4" w:space="0" w:color="auto"/>
            </w:tcBorders>
            <w:hideMark/>
          </w:tcPr>
          <w:p w14:paraId="30317345" w14:textId="77777777" w:rsidR="00B176A3" w:rsidRDefault="00B176A3">
            <w:pPr>
              <w:rPr>
                <w:b/>
                <w:sz w:val="24"/>
                <w:lang w:val="en-US"/>
              </w:rPr>
            </w:pPr>
            <w:r>
              <w:rPr>
                <w:b/>
              </w:rPr>
              <w:t>Nominal Coverage Area</w:t>
            </w:r>
          </w:p>
        </w:tc>
        <w:tc>
          <w:tcPr>
            <w:tcW w:w="2160" w:type="dxa"/>
            <w:tcBorders>
              <w:top w:val="single" w:sz="4" w:space="0" w:color="auto"/>
              <w:left w:val="single" w:sz="4" w:space="0" w:color="auto"/>
              <w:bottom w:val="single" w:sz="4" w:space="0" w:color="auto"/>
              <w:right w:val="single" w:sz="4" w:space="0" w:color="auto"/>
            </w:tcBorders>
            <w:hideMark/>
          </w:tcPr>
          <w:p w14:paraId="741FFD99" w14:textId="77777777" w:rsidR="00B176A3" w:rsidRDefault="00B176A3">
            <w:pPr>
              <w:rPr>
                <w:b/>
                <w:sz w:val="24"/>
                <w:lang w:val="en-US"/>
              </w:rPr>
            </w:pPr>
            <w:r>
              <w:rPr>
                <w:b/>
              </w:rPr>
              <w:t xml:space="preserve">Visibility to shore-based e-Navigation system </w:t>
            </w:r>
            <w:r>
              <w:t>(outside own service)</w:t>
            </w:r>
          </w:p>
        </w:tc>
        <w:tc>
          <w:tcPr>
            <w:tcW w:w="1676" w:type="dxa"/>
            <w:tcBorders>
              <w:top w:val="single" w:sz="4" w:space="0" w:color="auto"/>
              <w:left w:val="single" w:sz="4" w:space="0" w:color="auto"/>
              <w:bottom w:val="single" w:sz="4" w:space="0" w:color="auto"/>
              <w:right w:val="single" w:sz="4" w:space="0" w:color="auto"/>
            </w:tcBorders>
            <w:hideMark/>
          </w:tcPr>
          <w:p w14:paraId="0A50C721" w14:textId="77777777" w:rsidR="00B176A3" w:rsidRDefault="00B176A3">
            <w:pPr>
              <w:rPr>
                <w:b/>
                <w:sz w:val="24"/>
                <w:lang w:val="en-US"/>
              </w:rPr>
            </w:pPr>
            <w:r>
              <w:rPr>
                <w:b/>
              </w:rPr>
              <w:t>Visibility to Service Management</w:t>
            </w:r>
          </w:p>
        </w:tc>
        <w:tc>
          <w:tcPr>
            <w:tcW w:w="1980" w:type="dxa"/>
            <w:tcBorders>
              <w:top w:val="single" w:sz="4" w:space="0" w:color="auto"/>
              <w:left w:val="single" w:sz="4" w:space="0" w:color="auto"/>
              <w:bottom w:val="single" w:sz="4" w:space="0" w:color="auto"/>
              <w:right w:val="single" w:sz="4" w:space="0" w:color="auto"/>
            </w:tcBorders>
            <w:hideMark/>
          </w:tcPr>
          <w:p w14:paraId="57F3E9B8" w14:textId="77777777" w:rsidR="00B176A3" w:rsidRDefault="00B176A3">
            <w:pPr>
              <w:rPr>
                <w:b/>
                <w:sz w:val="24"/>
                <w:lang w:val="en-US"/>
              </w:rPr>
            </w:pPr>
            <w:r>
              <w:rPr>
                <w:b/>
              </w:rPr>
              <w:t>Visibility to LSS instances</w:t>
            </w:r>
          </w:p>
        </w:tc>
        <w:tc>
          <w:tcPr>
            <w:tcW w:w="2340" w:type="dxa"/>
            <w:tcBorders>
              <w:top w:val="single" w:sz="4" w:space="0" w:color="auto"/>
              <w:left w:val="single" w:sz="4" w:space="0" w:color="auto"/>
              <w:bottom w:val="single" w:sz="4" w:space="0" w:color="auto"/>
              <w:right w:val="single" w:sz="4" w:space="0" w:color="auto"/>
            </w:tcBorders>
            <w:hideMark/>
          </w:tcPr>
          <w:p w14:paraId="435A228B" w14:textId="77777777" w:rsidR="00B176A3" w:rsidRDefault="00B176A3">
            <w:pPr>
              <w:rPr>
                <w:b/>
                <w:sz w:val="24"/>
                <w:lang w:val="en-US"/>
              </w:rPr>
            </w:pPr>
            <w:r>
              <w:rPr>
                <w:b/>
              </w:rPr>
              <w:t>Visibility to PSS</w:t>
            </w:r>
          </w:p>
        </w:tc>
      </w:tr>
      <w:tr w:rsidR="00B176A3" w:rsidRPr="00B176A3" w14:paraId="030F9D77" w14:textId="77777777" w:rsidTr="00B176A3">
        <w:tc>
          <w:tcPr>
            <w:tcW w:w="2088" w:type="dxa"/>
            <w:tcBorders>
              <w:top w:val="single" w:sz="4" w:space="0" w:color="auto"/>
              <w:left w:val="single" w:sz="4" w:space="0" w:color="auto"/>
              <w:bottom w:val="single" w:sz="4" w:space="0" w:color="auto"/>
              <w:right w:val="single" w:sz="4" w:space="0" w:color="auto"/>
            </w:tcBorders>
            <w:hideMark/>
          </w:tcPr>
          <w:p w14:paraId="3F0EB3AD" w14:textId="77777777" w:rsidR="00B176A3" w:rsidRDefault="00B176A3">
            <w:pPr>
              <w:rPr>
                <w:b/>
                <w:sz w:val="24"/>
                <w:lang w:val="en-US"/>
              </w:rPr>
            </w:pPr>
            <w:r>
              <w:rPr>
                <w:b/>
              </w:rPr>
              <w:t>(Rx/</w:t>
            </w:r>
            <w:proofErr w:type="spellStart"/>
            <w:r>
              <w:rPr>
                <w:b/>
              </w:rPr>
              <w:t>Tx</w:t>
            </w:r>
            <w:proofErr w:type="spellEnd"/>
            <w:r>
              <w:rPr>
                <w:b/>
              </w:rPr>
              <w:t>) Range on Physical Link(s)</w:t>
            </w:r>
          </w:p>
        </w:tc>
        <w:tc>
          <w:tcPr>
            <w:tcW w:w="2160" w:type="dxa"/>
            <w:tcBorders>
              <w:top w:val="single" w:sz="4" w:space="0" w:color="auto"/>
              <w:left w:val="single" w:sz="4" w:space="0" w:color="auto"/>
              <w:bottom w:val="single" w:sz="4" w:space="0" w:color="auto"/>
              <w:right w:val="single" w:sz="4" w:space="0" w:color="auto"/>
            </w:tcBorders>
            <w:hideMark/>
          </w:tcPr>
          <w:p w14:paraId="320FC9A4" w14:textId="77777777" w:rsidR="00B176A3" w:rsidRDefault="00B176A3">
            <w:pPr>
              <w:rPr>
                <w:b/>
                <w:sz w:val="24"/>
                <w:lang w:val="en-US"/>
              </w:rPr>
            </w:pPr>
            <w:r>
              <w:rPr>
                <w:b/>
              </w:rPr>
              <w:t>No</w:t>
            </w:r>
          </w:p>
        </w:tc>
        <w:tc>
          <w:tcPr>
            <w:tcW w:w="1676" w:type="dxa"/>
            <w:tcBorders>
              <w:top w:val="single" w:sz="4" w:space="0" w:color="auto"/>
              <w:left w:val="single" w:sz="4" w:space="0" w:color="auto"/>
              <w:bottom w:val="single" w:sz="4" w:space="0" w:color="auto"/>
              <w:right w:val="single" w:sz="4" w:space="0" w:color="auto"/>
            </w:tcBorders>
            <w:hideMark/>
          </w:tcPr>
          <w:p w14:paraId="22B77198" w14:textId="77777777" w:rsidR="00B176A3" w:rsidRDefault="00B176A3">
            <w:pPr>
              <w:rPr>
                <w:b/>
                <w:sz w:val="24"/>
                <w:lang w:val="en-US"/>
              </w:rPr>
            </w:pPr>
            <w:r>
              <w:rPr>
                <w:b/>
              </w:rPr>
              <w:t>No</w:t>
            </w:r>
          </w:p>
        </w:tc>
        <w:tc>
          <w:tcPr>
            <w:tcW w:w="1980" w:type="dxa"/>
            <w:tcBorders>
              <w:top w:val="single" w:sz="4" w:space="0" w:color="auto"/>
              <w:left w:val="single" w:sz="4" w:space="0" w:color="auto"/>
              <w:bottom w:val="single" w:sz="4" w:space="0" w:color="auto"/>
              <w:right w:val="single" w:sz="4" w:space="0" w:color="auto"/>
            </w:tcBorders>
            <w:hideMark/>
          </w:tcPr>
          <w:p w14:paraId="728DA5F6" w14:textId="77777777" w:rsidR="00B176A3" w:rsidRDefault="00B176A3">
            <w:pPr>
              <w:rPr>
                <w:b/>
                <w:sz w:val="24"/>
                <w:lang w:val="en-US"/>
              </w:rPr>
            </w:pPr>
            <w:r>
              <w:rPr>
                <w:b/>
              </w:rPr>
              <w:t>No</w:t>
            </w:r>
          </w:p>
        </w:tc>
        <w:tc>
          <w:tcPr>
            <w:tcW w:w="2340" w:type="dxa"/>
            <w:tcBorders>
              <w:top w:val="single" w:sz="4" w:space="0" w:color="auto"/>
              <w:left w:val="single" w:sz="4" w:space="0" w:color="auto"/>
              <w:bottom w:val="single" w:sz="4" w:space="0" w:color="auto"/>
              <w:right w:val="single" w:sz="4" w:space="0" w:color="auto"/>
            </w:tcBorders>
            <w:hideMark/>
          </w:tcPr>
          <w:p w14:paraId="3F24D517" w14:textId="77777777" w:rsidR="00B176A3" w:rsidRDefault="00B176A3">
            <w:pPr>
              <w:rPr>
                <w:b/>
                <w:sz w:val="24"/>
                <w:lang w:val="en-US"/>
              </w:rPr>
            </w:pPr>
            <w:r>
              <w:rPr>
                <w:b/>
              </w:rPr>
              <w:t xml:space="preserve">Yes </w:t>
            </w:r>
            <w:r>
              <w:rPr>
                <w:sz w:val="18"/>
                <w:szCs w:val="18"/>
              </w:rPr>
              <w:t>(by transparency of Physical Link Terminal Equipment in this regard)</w:t>
            </w:r>
          </w:p>
        </w:tc>
      </w:tr>
      <w:tr w:rsidR="00B176A3" w:rsidRPr="00B176A3" w14:paraId="352295E4" w14:textId="77777777" w:rsidTr="00B176A3">
        <w:tc>
          <w:tcPr>
            <w:tcW w:w="2088" w:type="dxa"/>
            <w:tcBorders>
              <w:top w:val="single" w:sz="4" w:space="0" w:color="auto"/>
              <w:left w:val="single" w:sz="4" w:space="0" w:color="auto"/>
              <w:bottom w:val="single" w:sz="4" w:space="0" w:color="auto"/>
              <w:right w:val="single" w:sz="4" w:space="0" w:color="auto"/>
            </w:tcBorders>
            <w:hideMark/>
          </w:tcPr>
          <w:p w14:paraId="091883FF" w14:textId="77777777" w:rsidR="00B176A3" w:rsidRDefault="00B176A3">
            <w:pPr>
              <w:rPr>
                <w:b/>
                <w:sz w:val="24"/>
                <w:lang w:val="en-US"/>
              </w:rPr>
            </w:pPr>
            <w:r>
              <w:rPr>
                <w:b/>
              </w:rPr>
              <w:t>(Rx/</w:t>
            </w:r>
            <w:proofErr w:type="spellStart"/>
            <w:r>
              <w:rPr>
                <w:b/>
              </w:rPr>
              <w:t>Tx</w:t>
            </w:r>
            <w:proofErr w:type="spellEnd"/>
            <w:r>
              <w:rPr>
                <w:b/>
              </w:rPr>
              <w:t>) Sector Coverage Area</w:t>
            </w:r>
          </w:p>
        </w:tc>
        <w:tc>
          <w:tcPr>
            <w:tcW w:w="2160" w:type="dxa"/>
            <w:tcBorders>
              <w:top w:val="single" w:sz="4" w:space="0" w:color="auto"/>
              <w:left w:val="single" w:sz="4" w:space="0" w:color="auto"/>
              <w:bottom w:val="single" w:sz="4" w:space="0" w:color="auto"/>
              <w:right w:val="single" w:sz="4" w:space="0" w:color="auto"/>
            </w:tcBorders>
            <w:hideMark/>
          </w:tcPr>
          <w:p w14:paraId="0C8C9619" w14:textId="77777777" w:rsidR="00B176A3" w:rsidRDefault="00B176A3">
            <w:pPr>
              <w:rPr>
                <w:b/>
                <w:sz w:val="24"/>
                <w:lang w:val="en-US"/>
              </w:rPr>
            </w:pPr>
            <w:r>
              <w:rPr>
                <w:b/>
              </w:rPr>
              <w:t>No</w:t>
            </w:r>
          </w:p>
        </w:tc>
        <w:tc>
          <w:tcPr>
            <w:tcW w:w="1676" w:type="dxa"/>
            <w:tcBorders>
              <w:top w:val="single" w:sz="4" w:space="0" w:color="auto"/>
              <w:left w:val="single" w:sz="4" w:space="0" w:color="auto"/>
              <w:bottom w:val="single" w:sz="4" w:space="0" w:color="auto"/>
              <w:right w:val="single" w:sz="4" w:space="0" w:color="auto"/>
            </w:tcBorders>
            <w:hideMark/>
          </w:tcPr>
          <w:p w14:paraId="0866F9FE" w14:textId="77777777" w:rsidR="00B176A3" w:rsidRDefault="00B176A3">
            <w:pPr>
              <w:rPr>
                <w:sz w:val="24"/>
                <w:lang w:val="en-US"/>
              </w:rPr>
            </w:pPr>
            <w:r>
              <w:rPr>
                <w:b/>
              </w:rPr>
              <w:t>Yes</w:t>
            </w:r>
            <w:r>
              <w:t xml:space="preserve"> </w:t>
            </w:r>
            <w:r>
              <w:rPr>
                <w:sz w:val="18"/>
                <w:szCs w:val="18"/>
              </w:rPr>
              <w:t>(SM configures it)</w:t>
            </w:r>
          </w:p>
        </w:tc>
        <w:tc>
          <w:tcPr>
            <w:tcW w:w="1980" w:type="dxa"/>
            <w:tcBorders>
              <w:top w:val="single" w:sz="4" w:space="0" w:color="auto"/>
              <w:left w:val="single" w:sz="4" w:space="0" w:color="auto"/>
              <w:bottom w:val="single" w:sz="4" w:space="0" w:color="auto"/>
              <w:right w:val="single" w:sz="4" w:space="0" w:color="auto"/>
            </w:tcBorders>
            <w:hideMark/>
          </w:tcPr>
          <w:p w14:paraId="71914357" w14:textId="77777777" w:rsidR="00B176A3" w:rsidRDefault="00B176A3">
            <w:pPr>
              <w:rPr>
                <w:b/>
                <w:sz w:val="24"/>
                <w:lang w:val="en-US"/>
              </w:rPr>
            </w:pPr>
            <w:r>
              <w:rPr>
                <w:b/>
              </w:rPr>
              <w:t>No</w:t>
            </w:r>
          </w:p>
        </w:tc>
        <w:tc>
          <w:tcPr>
            <w:tcW w:w="2340" w:type="dxa"/>
            <w:tcBorders>
              <w:top w:val="single" w:sz="4" w:space="0" w:color="auto"/>
              <w:left w:val="single" w:sz="4" w:space="0" w:color="auto"/>
              <w:bottom w:val="single" w:sz="4" w:space="0" w:color="auto"/>
              <w:right w:val="single" w:sz="4" w:space="0" w:color="auto"/>
            </w:tcBorders>
            <w:hideMark/>
          </w:tcPr>
          <w:p w14:paraId="6CD15123" w14:textId="77777777" w:rsidR="00B176A3" w:rsidRDefault="00B176A3">
            <w:pPr>
              <w:rPr>
                <w:sz w:val="24"/>
                <w:lang w:val="en-US"/>
              </w:rPr>
            </w:pPr>
            <w:r>
              <w:rPr>
                <w:b/>
              </w:rPr>
              <w:t>Yes</w:t>
            </w:r>
            <w:r>
              <w:t xml:space="preserve"> </w:t>
            </w:r>
            <w:r>
              <w:rPr>
                <w:sz w:val="18"/>
                <w:szCs w:val="18"/>
              </w:rPr>
              <w:t>(used for reception evaluation (Rx) and message to sector routing (</w:t>
            </w:r>
            <w:proofErr w:type="spellStart"/>
            <w:r>
              <w:rPr>
                <w:sz w:val="18"/>
                <w:szCs w:val="18"/>
              </w:rPr>
              <w:t>Tx</w:t>
            </w:r>
            <w:proofErr w:type="spellEnd"/>
            <w:r>
              <w:rPr>
                <w:sz w:val="18"/>
                <w:szCs w:val="18"/>
              </w:rPr>
              <w:t>))</w:t>
            </w:r>
          </w:p>
        </w:tc>
      </w:tr>
      <w:tr w:rsidR="00B176A3" w14:paraId="0B8D57B2" w14:textId="77777777" w:rsidTr="00B176A3">
        <w:tc>
          <w:tcPr>
            <w:tcW w:w="2088" w:type="dxa"/>
            <w:tcBorders>
              <w:top w:val="single" w:sz="4" w:space="0" w:color="auto"/>
              <w:left w:val="single" w:sz="4" w:space="0" w:color="auto"/>
              <w:bottom w:val="single" w:sz="4" w:space="0" w:color="auto"/>
              <w:right w:val="single" w:sz="4" w:space="0" w:color="auto"/>
            </w:tcBorders>
            <w:hideMark/>
          </w:tcPr>
          <w:p w14:paraId="0ADD0E25" w14:textId="77777777" w:rsidR="00B176A3" w:rsidRDefault="00B176A3">
            <w:pPr>
              <w:rPr>
                <w:b/>
                <w:sz w:val="24"/>
                <w:lang w:val="en-US"/>
              </w:rPr>
            </w:pPr>
            <w:r>
              <w:rPr>
                <w:b/>
              </w:rPr>
              <w:t>(Rx/</w:t>
            </w:r>
            <w:proofErr w:type="spellStart"/>
            <w:r>
              <w:rPr>
                <w:b/>
              </w:rPr>
              <w:t>Tx</w:t>
            </w:r>
            <w:proofErr w:type="spellEnd"/>
            <w:r>
              <w:rPr>
                <w:b/>
              </w:rPr>
              <w:t>) PSS Coverage Area</w:t>
            </w:r>
          </w:p>
        </w:tc>
        <w:tc>
          <w:tcPr>
            <w:tcW w:w="2160" w:type="dxa"/>
            <w:tcBorders>
              <w:top w:val="single" w:sz="4" w:space="0" w:color="auto"/>
              <w:left w:val="single" w:sz="4" w:space="0" w:color="auto"/>
              <w:bottom w:val="single" w:sz="4" w:space="0" w:color="auto"/>
              <w:right w:val="single" w:sz="4" w:space="0" w:color="auto"/>
            </w:tcBorders>
            <w:hideMark/>
          </w:tcPr>
          <w:p w14:paraId="5D744B66" w14:textId="77777777" w:rsidR="00B176A3" w:rsidRDefault="00B176A3">
            <w:pPr>
              <w:rPr>
                <w:b/>
                <w:sz w:val="24"/>
                <w:lang w:val="en-US"/>
              </w:rPr>
            </w:pPr>
            <w:r>
              <w:rPr>
                <w:b/>
              </w:rPr>
              <w:t>No</w:t>
            </w:r>
          </w:p>
        </w:tc>
        <w:tc>
          <w:tcPr>
            <w:tcW w:w="1676" w:type="dxa"/>
            <w:tcBorders>
              <w:top w:val="single" w:sz="4" w:space="0" w:color="auto"/>
              <w:left w:val="single" w:sz="4" w:space="0" w:color="auto"/>
              <w:bottom w:val="single" w:sz="4" w:space="0" w:color="auto"/>
              <w:right w:val="single" w:sz="4" w:space="0" w:color="auto"/>
            </w:tcBorders>
            <w:hideMark/>
          </w:tcPr>
          <w:p w14:paraId="517D7D77" w14:textId="77777777" w:rsidR="00B176A3" w:rsidRDefault="00B176A3">
            <w:pPr>
              <w:rPr>
                <w:sz w:val="24"/>
                <w:lang w:val="en-US"/>
              </w:rPr>
            </w:pPr>
            <w:r>
              <w:rPr>
                <w:b/>
              </w:rPr>
              <w:t>Yes</w:t>
            </w:r>
            <w:r>
              <w:t xml:space="preserve"> </w:t>
            </w:r>
            <w:r>
              <w:rPr>
                <w:sz w:val="18"/>
                <w:szCs w:val="18"/>
              </w:rPr>
              <w:t>(SM configures it)</w:t>
            </w:r>
          </w:p>
        </w:tc>
        <w:tc>
          <w:tcPr>
            <w:tcW w:w="1980" w:type="dxa"/>
            <w:tcBorders>
              <w:top w:val="single" w:sz="4" w:space="0" w:color="auto"/>
              <w:left w:val="single" w:sz="4" w:space="0" w:color="auto"/>
              <w:bottom w:val="single" w:sz="4" w:space="0" w:color="auto"/>
              <w:right w:val="single" w:sz="4" w:space="0" w:color="auto"/>
            </w:tcBorders>
            <w:hideMark/>
          </w:tcPr>
          <w:p w14:paraId="56433045" w14:textId="77777777" w:rsidR="00B176A3" w:rsidRDefault="00B176A3">
            <w:pPr>
              <w:rPr>
                <w:sz w:val="24"/>
                <w:lang w:val="en-US"/>
              </w:rPr>
            </w:pPr>
            <w:r>
              <w:rPr>
                <w:b/>
              </w:rPr>
              <w:t>Yes</w:t>
            </w:r>
            <w:r>
              <w:t xml:space="preserve"> </w:t>
            </w:r>
            <w:r>
              <w:rPr>
                <w:sz w:val="18"/>
                <w:szCs w:val="18"/>
              </w:rPr>
              <w:t>(used for reception evaluation (Rx) and data to PSS routing (</w:t>
            </w:r>
            <w:proofErr w:type="spellStart"/>
            <w:r>
              <w:rPr>
                <w:sz w:val="18"/>
                <w:szCs w:val="18"/>
              </w:rPr>
              <w:t>Tx</w:t>
            </w:r>
            <w:proofErr w:type="spellEnd"/>
            <w:r>
              <w:rPr>
                <w:sz w:val="18"/>
                <w:szCs w:val="18"/>
              </w:rPr>
              <w:t>))</w:t>
            </w:r>
          </w:p>
        </w:tc>
        <w:tc>
          <w:tcPr>
            <w:tcW w:w="2340" w:type="dxa"/>
            <w:tcBorders>
              <w:top w:val="single" w:sz="4" w:space="0" w:color="auto"/>
              <w:left w:val="single" w:sz="4" w:space="0" w:color="auto"/>
              <w:bottom w:val="single" w:sz="4" w:space="0" w:color="auto"/>
              <w:right w:val="single" w:sz="4" w:space="0" w:color="auto"/>
            </w:tcBorders>
            <w:hideMark/>
          </w:tcPr>
          <w:p w14:paraId="6A9FB270" w14:textId="77777777" w:rsidR="00B176A3" w:rsidRDefault="00B176A3">
            <w:pPr>
              <w:rPr>
                <w:b/>
                <w:sz w:val="24"/>
                <w:lang w:val="en-US"/>
              </w:rPr>
            </w:pPr>
            <w:r>
              <w:rPr>
                <w:b/>
              </w:rPr>
              <w:t xml:space="preserve">Yes </w:t>
            </w:r>
            <w:r>
              <w:rPr>
                <w:sz w:val="18"/>
                <w:szCs w:val="18"/>
              </w:rPr>
              <w:t>(own data)</w:t>
            </w:r>
          </w:p>
        </w:tc>
      </w:tr>
      <w:tr w:rsidR="00B176A3" w14:paraId="14040872" w14:textId="77777777" w:rsidTr="00B176A3">
        <w:tc>
          <w:tcPr>
            <w:tcW w:w="2088" w:type="dxa"/>
            <w:tcBorders>
              <w:top w:val="single" w:sz="4" w:space="0" w:color="auto"/>
              <w:left w:val="single" w:sz="4" w:space="0" w:color="auto"/>
              <w:bottom w:val="single" w:sz="4" w:space="0" w:color="auto"/>
              <w:right w:val="single" w:sz="4" w:space="0" w:color="auto"/>
            </w:tcBorders>
            <w:hideMark/>
          </w:tcPr>
          <w:p w14:paraId="4869F572" w14:textId="77777777" w:rsidR="00B176A3" w:rsidRDefault="00B176A3">
            <w:pPr>
              <w:rPr>
                <w:b/>
                <w:sz w:val="24"/>
                <w:lang w:val="en-US"/>
              </w:rPr>
            </w:pPr>
            <w:r>
              <w:rPr>
                <w:b/>
              </w:rPr>
              <w:t>(Rx/</w:t>
            </w:r>
            <w:proofErr w:type="spellStart"/>
            <w:r>
              <w:rPr>
                <w:b/>
              </w:rPr>
              <w:t>Tx</w:t>
            </w:r>
            <w:proofErr w:type="spellEnd"/>
            <w:r>
              <w:rPr>
                <w:b/>
              </w:rPr>
              <w:t>) LSS Coverage Area</w:t>
            </w:r>
          </w:p>
        </w:tc>
        <w:tc>
          <w:tcPr>
            <w:tcW w:w="2160" w:type="dxa"/>
            <w:tcBorders>
              <w:top w:val="single" w:sz="4" w:space="0" w:color="auto"/>
              <w:left w:val="single" w:sz="4" w:space="0" w:color="auto"/>
              <w:bottom w:val="single" w:sz="4" w:space="0" w:color="auto"/>
              <w:right w:val="single" w:sz="4" w:space="0" w:color="auto"/>
            </w:tcBorders>
            <w:hideMark/>
          </w:tcPr>
          <w:p w14:paraId="23F9EF95" w14:textId="77777777" w:rsidR="00B176A3" w:rsidRDefault="00B176A3">
            <w:pPr>
              <w:rPr>
                <w:sz w:val="24"/>
                <w:lang w:val="en-US"/>
              </w:rPr>
            </w:pPr>
            <w:r>
              <w:rPr>
                <w:b/>
              </w:rPr>
              <w:t>Yes</w:t>
            </w:r>
            <w:r>
              <w:t xml:space="preserve"> </w:t>
            </w:r>
            <w:r>
              <w:rPr>
                <w:sz w:val="18"/>
                <w:szCs w:val="18"/>
              </w:rPr>
              <w:t>(requesting service determines it for the LSS instance(s) requested)</w:t>
            </w:r>
          </w:p>
        </w:tc>
        <w:tc>
          <w:tcPr>
            <w:tcW w:w="1676" w:type="dxa"/>
            <w:tcBorders>
              <w:top w:val="single" w:sz="4" w:space="0" w:color="auto"/>
              <w:left w:val="single" w:sz="4" w:space="0" w:color="auto"/>
              <w:bottom w:val="single" w:sz="4" w:space="0" w:color="auto"/>
              <w:right w:val="single" w:sz="4" w:space="0" w:color="auto"/>
            </w:tcBorders>
            <w:hideMark/>
          </w:tcPr>
          <w:p w14:paraId="4668E073" w14:textId="77777777" w:rsidR="00B176A3" w:rsidRDefault="00B176A3">
            <w:pPr>
              <w:rPr>
                <w:sz w:val="24"/>
                <w:lang w:val="en-US"/>
              </w:rPr>
            </w:pPr>
            <w:r>
              <w:rPr>
                <w:b/>
              </w:rPr>
              <w:t>Yes</w:t>
            </w:r>
            <w:r>
              <w:t xml:space="preserve"> </w:t>
            </w:r>
            <w:r>
              <w:rPr>
                <w:sz w:val="18"/>
                <w:szCs w:val="18"/>
              </w:rPr>
              <w:t>(SM invokes and configures LSS instance(s))</w:t>
            </w:r>
          </w:p>
        </w:tc>
        <w:tc>
          <w:tcPr>
            <w:tcW w:w="1980" w:type="dxa"/>
            <w:tcBorders>
              <w:top w:val="single" w:sz="4" w:space="0" w:color="auto"/>
              <w:left w:val="single" w:sz="4" w:space="0" w:color="auto"/>
              <w:bottom w:val="single" w:sz="4" w:space="0" w:color="auto"/>
              <w:right w:val="single" w:sz="4" w:space="0" w:color="auto"/>
            </w:tcBorders>
            <w:hideMark/>
          </w:tcPr>
          <w:p w14:paraId="407773E5" w14:textId="77777777" w:rsidR="00B176A3" w:rsidRDefault="00B176A3">
            <w:pPr>
              <w:rPr>
                <w:b/>
                <w:sz w:val="24"/>
                <w:lang w:val="en-US"/>
              </w:rPr>
            </w:pPr>
            <w:r>
              <w:rPr>
                <w:b/>
              </w:rPr>
              <w:t xml:space="preserve">Yes </w:t>
            </w:r>
            <w:r>
              <w:rPr>
                <w:sz w:val="18"/>
                <w:szCs w:val="18"/>
              </w:rPr>
              <w:t>(own data)</w:t>
            </w:r>
          </w:p>
        </w:tc>
        <w:tc>
          <w:tcPr>
            <w:tcW w:w="2340" w:type="dxa"/>
            <w:tcBorders>
              <w:top w:val="single" w:sz="4" w:space="0" w:color="auto"/>
              <w:left w:val="single" w:sz="4" w:space="0" w:color="auto"/>
              <w:bottom w:val="single" w:sz="4" w:space="0" w:color="auto"/>
              <w:right w:val="single" w:sz="4" w:space="0" w:color="auto"/>
            </w:tcBorders>
            <w:hideMark/>
          </w:tcPr>
          <w:p w14:paraId="41A5E30C" w14:textId="77777777" w:rsidR="00B176A3" w:rsidRDefault="00B176A3">
            <w:pPr>
              <w:rPr>
                <w:b/>
                <w:sz w:val="24"/>
                <w:lang w:val="en-US"/>
              </w:rPr>
            </w:pPr>
            <w:r>
              <w:rPr>
                <w:b/>
              </w:rPr>
              <w:t xml:space="preserve">No </w:t>
            </w:r>
          </w:p>
        </w:tc>
      </w:tr>
      <w:tr w:rsidR="00B176A3" w14:paraId="19FE6785" w14:textId="77777777" w:rsidTr="00B176A3">
        <w:tc>
          <w:tcPr>
            <w:tcW w:w="2088" w:type="dxa"/>
            <w:tcBorders>
              <w:top w:val="single" w:sz="4" w:space="0" w:color="auto"/>
              <w:left w:val="single" w:sz="4" w:space="0" w:color="auto"/>
              <w:bottom w:val="single" w:sz="4" w:space="0" w:color="auto"/>
              <w:right w:val="single" w:sz="4" w:space="0" w:color="auto"/>
            </w:tcBorders>
            <w:hideMark/>
          </w:tcPr>
          <w:p w14:paraId="79C4C305" w14:textId="77777777" w:rsidR="00B176A3" w:rsidRDefault="00B176A3">
            <w:pPr>
              <w:rPr>
                <w:b/>
                <w:sz w:val="24"/>
                <w:lang w:val="en-US"/>
              </w:rPr>
            </w:pPr>
            <w:r>
              <w:rPr>
                <w:b/>
              </w:rPr>
              <w:t>(Rx/</w:t>
            </w:r>
            <w:proofErr w:type="spellStart"/>
            <w:r>
              <w:rPr>
                <w:b/>
              </w:rPr>
              <w:t>Tx</w:t>
            </w:r>
            <w:proofErr w:type="spellEnd"/>
            <w:r>
              <w:rPr>
                <w:b/>
              </w:rPr>
              <w:t>) Service Coverage Area</w:t>
            </w:r>
          </w:p>
        </w:tc>
        <w:tc>
          <w:tcPr>
            <w:tcW w:w="2160" w:type="dxa"/>
            <w:tcBorders>
              <w:top w:val="single" w:sz="4" w:space="0" w:color="auto"/>
              <w:left w:val="single" w:sz="4" w:space="0" w:color="auto"/>
              <w:bottom w:val="single" w:sz="4" w:space="0" w:color="auto"/>
              <w:right w:val="single" w:sz="4" w:space="0" w:color="auto"/>
            </w:tcBorders>
            <w:hideMark/>
          </w:tcPr>
          <w:p w14:paraId="0C7A8D35" w14:textId="77777777" w:rsidR="00B176A3" w:rsidRDefault="00B176A3">
            <w:pPr>
              <w:rPr>
                <w:sz w:val="24"/>
                <w:lang w:val="en-US"/>
              </w:rPr>
            </w:pPr>
            <w:r>
              <w:rPr>
                <w:b/>
              </w:rPr>
              <w:t xml:space="preserve">Yes </w:t>
            </w:r>
            <w:r>
              <w:rPr>
                <w:sz w:val="18"/>
                <w:szCs w:val="18"/>
              </w:rPr>
              <w:t>(= maximum nominal coverage area to choose LSS Service Area(s) from)</w:t>
            </w:r>
          </w:p>
        </w:tc>
        <w:tc>
          <w:tcPr>
            <w:tcW w:w="1676" w:type="dxa"/>
            <w:tcBorders>
              <w:top w:val="single" w:sz="4" w:space="0" w:color="auto"/>
              <w:left w:val="single" w:sz="4" w:space="0" w:color="auto"/>
              <w:bottom w:val="single" w:sz="4" w:space="0" w:color="auto"/>
              <w:right w:val="single" w:sz="4" w:space="0" w:color="auto"/>
            </w:tcBorders>
            <w:hideMark/>
          </w:tcPr>
          <w:p w14:paraId="5487DD6E" w14:textId="77777777" w:rsidR="00B176A3" w:rsidRDefault="00B176A3">
            <w:pPr>
              <w:rPr>
                <w:b/>
                <w:sz w:val="24"/>
                <w:lang w:val="en-US"/>
              </w:rPr>
            </w:pPr>
            <w:r>
              <w:rPr>
                <w:b/>
              </w:rPr>
              <w:t>Yes</w:t>
            </w:r>
          </w:p>
        </w:tc>
        <w:tc>
          <w:tcPr>
            <w:tcW w:w="1980" w:type="dxa"/>
            <w:tcBorders>
              <w:top w:val="single" w:sz="4" w:space="0" w:color="auto"/>
              <w:left w:val="single" w:sz="4" w:space="0" w:color="auto"/>
              <w:bottom w:val="single" w:sz="4" w:space="0" w:color="auto"/>
              <w:right w:val="single" w:sz="4" w:space="0" w:color="auto"/>
            </w:tcBorders>
            <w:hideMark/>
          </w:tcPr>
          <w:p w14:paraId="7B46A11F" w14:textId="77777777" w:rsidR="00B176A3" w:rsidRDefault="00B176A3">
            <w:pPr>
              <w:rPr>
                <w:b/>
                <w:sz w:val="24"/>
                <w:lang w:val="en-US"/>
              </w:rPr>
            </w:pPr>
            <w:r>
              <w:rPr>
                <w:b/>
              </w:rPr>
              <w:t>No</w:t>
            </w:r>
          </w:p>
        </w:tc>
        <w:tc>
          <w:tcPr>
            <w:tcW w:w="2340" w:type="dxa"/>
            <w:tcBorders>
              <w:top w:val="single" w:sz="4" w:space="0" w:color="auto"/>
              <w:left w:val="single" w:sz="4" w:space="0" w:color="auto"/>
              <w:bottom w:val="single" w:sz="4" w:space="0" w:color="auto"/>
              <w:right w:val="single" w:sz="4" w:space="0" w:color="auto"/>
            </w:tcBorders>
            <w:hideMark/>
          </w:tcPr>
          <w:p w14:paraId="5FA00C22" w14:textId="77777777" w:rsidR="00B176A3" w:rsidRDefault="00B176A3">
            <w:pPr>
              <w:rPr>
                <w:b/>
                <w:sz w:val="24"/>
                <w:lang w:val="en-US"/>
              </w:rPr>
            </w:pPr>
            <w:r>
              <w:rPr>
                <w:b/>
              </w:rPr>
              <w:t>No</w:t>
            </w:r>
          </w:p>
        </w:tc>
      </w:tr>
    </w:tbl>
    <w:p w14:paraId="4FD613C3" w14:textId="77777777" w:rsidR="00B176A3" w:rsidRDefault="00B176A3" w:rsidP="00B176A3">
      <w:pPr>
        <w:rPr>
          <w:highlight w:val="yellow"/>
          <w:lang w:val="en-US"/>
        </w:rPr>
      </w:pPr>
    </w:p>
    <w:p w14:paraId="62C0ED64" w14:textId="77777777" w:rsidR="00B176A3" w:rsidRDefault="00B176A3" w:rsidP="00B176A3">
      <w:pPr>
        <w:pStyle w:val="Heading3"/>
        <w:numPr>
          <w:ilvl w:val="2"/>
          <w:numId w:val="18"/>
        </w:numPr>
        <w:tabs>
          <w:tab w:val="clear" w:pos="851"/>
        </w:tabs>
        <w:spacing w:before="240" w:after="60"/>
      </w:pPr>
      <w:bookmarkStart w:id="35" w:name="_Toc206576511"/>
      <w:bookmarkStart w:id="36" w:name="_Toc395604440"/>
      <w:r>
        <w:lastRenderedPageBreak/>
        <w:t>Generic examples of the Nominal Coverage Area and of the Sector concept</w:t>
      </w:r>
      <w:bookmarkEnd w:id="35"/>
      <w:r>
        <w:t>s</w:t>
      </w:r>
      <w:bookmarkEnd w:id="36"/>
      <w:r>
        <w:t xml:space="preserve"> </w:t>
      </w:r>
    </w:p>
    <w:p w14:paraId="1E5FEF18" w14:textId="77777777" w:rsidR="00B176A3" w:rsidRDefault="00B176A3" w:rsidP="00B176A3">
      <w:r>
        <w:t xml:space="preserve">Generic examples employing the above concepts assuming a service with a Physical Layer and a radio technology capable of both receiving and transmitting are given in the Figures A3.5 for the PSS Coverage Area and in the Figure A3.6 for the LSS Coverage Area. The examples in Figure A3.5 and A3.6 show </w:t>
      </w:r>
      <w:proofErr w:type="spellStart"/>
      <w:r>
        <w:t>sectorized</w:t>
      </w:r>
      <w:proofErr w:type="spellEnd"/>
      <w:r>
        <w:t xml:space="preserve"> RF antenna (= Physical Link Couplers of that example service) setup of the RSS. To arrive at an example of an omnidirectional RF antenna setup simply combine the coverage areas of the sectors of the same PSS to one circumscribing circle.</w:t>
      </w:r>
    </w:p>
    <w:p w14:paraId="6164366C" w14:textId="77777777" w:rsidR="00B176A3" w:rsidRDefault="00B176A3" w:rsidP="00B176A3">
      <w:pPr>
        <w:rPr>
          <w:highlight w:val="yellow"/>
        </w:rPr>
      </w:pPr>
    </w:p>
    <w:p w14:paraId="5C88AABE" w14:textId="77777777" w:rsidR="00B176A3" w:rsidRDefault="00B176A3" w:rsidP="00B176A3">
      <w:pPr>
        <w:rPr>
          <w:b/>
          <w:u w:val="single"/>
        </w:rPr>
      </w:pPr>
      <w:r>
        <w:rPr>
          <w:highlight w:val="yellow"/>
        </w:rPr>
        <w:br w:type="page"/>
      </w:r>
      <w:r>
        <w:rPr>
          <w:b/>
          <w:u w:val="single"/>
        </w:rPr>
        <w:lastRenderedPageBreak/>
        <w:t>Figure A3.5: Example setup for Receive-/Transmit-PSS Coverage Areas using the Sector concept</w:t>
      </w:r>
    </w:p>
    <w:p w14:paraId="020B2F3E" w14:textId="77777777" w:rsidR="00B176A3" w:rsidRDefault="00B176A3" w:rsidP="00B176A3">
      <w:pPr>
        <w:rPr>
          <w:sz w:val="20"/>
        </w:rPr>
      </w:pPr>
      <w:r>
        <w:rPr>
          <w:sz w:val="20"/>
        </w:rPr>
        <w:t>Note: The PSS Coverage Areas are defined arbitrarily smaller than the inclusive overlay sum of the two Sector Coverage Areas in this example.</w:t>
      </w:r>
    </w:p>
    <w:p w14:paraId="02200670" w14:textId="77777777" w:rsidR="00B176A3" w:rsidRDefault="00B176A3" w:rsidP="00B176A3">
      <w:pPr>
        <w:rPr>
          <w:b/>
          <w:sz w:val="24"/>
          <w:u w:val="single"/>
        </w:rPr>
      </w:pPr>
      <w:r>
        <w:rPr>
          <w:rFonts w:ascii="Times New Roman" w:hAnsi="Times New Roman"/>
          <w:sz w:val="24"/>
          <w:lang w:val="en-US"/>
        </w:rPr>
        <w:object w:dxaOrig="8205" w:dyaOrig="12960" w14:anchorId="075D3F2A">
          <v:shape id="_x0000_i1029" type="#_x0000_t75" style="width:410.25pt;height:9in" o:ole="">
            <v:imagedata r:id="rId23" o:title=""/>
          </v:shape>
          <o:OLEObject Type="Embed" ProgID="Visio.Drawing.11" ShapeID="_x0000_i1029" DrawAspect="Content" ObjectID="_1472885070" r:id="rId24"/>
        </w:object>
      </w:r>
      <w:r>
        <w:br w:type="page"/>
      </w:r>
      <w:r>
        <w:rPr>
          <w:b/>
          <w:u w:val="single"/>
        </w:rPr>
        <w:lastRenderedPageBreak/>
        <w:t>Figure A3.6: Example setup for LSS Service Area using the Sector concept</w:t>
      </w:r>
    </w:p>
    <w:p w14:paraId="21A3B0E9" w14:textId="77777777" w:rsidR="00B176A3" w:rsidRDefault="00B176A3" w:rsidP="00B176A3">
      <w:pPr>
        <w:rPr>
          <w:sz w:val="20"/>
        </w:rPr>
      </w:pPr>
      <w:r>
        <w:rPr>
          <w:sz w:val="20"/>
        </w:rPr>
        <w:t>Note 1: For reasons of simplicity the Sector Coverage Areas are not shown (compare Figure A3.5).</w:t>
      </w:r>
    </w:p>
    <w:p w14:paraId="1FC6AA4A" w14:textId="77777777" w:rsidR="00B176A3" w:rsidRDefault="00B176A3" w:rsidP="00B176A3">
      <w:pPr>
        <w:rPr>
          <w:sz w:val="20"/>
        </w:rPr>
      </w:pPr>
      <w:r>
        <w:rPr>
          <w:sz w:val="20"/>
        </w:rPr>
        <w:t xml:space="preserve">Note 2: The example shows a LSS configured to deliver a Basic Service which employs both Rx- and </w:t>
      </w:r>
      <w:proofErr w:type="spellStart"/>
      <w:r>
        <w:rPr>
          <w:sz w:val="20"/>
        </w:rPr>
        <w:t>Tx</w:t>
      </w:r>
      <w:proofErr w:type="spellEnd"/>
      <w:r>
        <w:rPr>
          <w:sz w:val="20"/>
        </w:rPr>
        <w:t>-functionalities using identical Receive / Transmit LSS Service Areas.</w:t>
      </w:r>
    </w:p>
    <w:p w14:paraId="237FAE4E" w14:textId="77777777" w:rsidR="00B176A3" w:rsidRDefault="00B176A3" w:rsidP="00B176A3">
      <w:pPr>
        <w:rPr>
          <w:b/>
          <w:sz w:val="24"/>
          <w:highlight w:val="yellow"/>
          <w:u w:val="single"/>
        </w:rPr>
      </w:pPr>
      <w:r>
        <w:rPr>
          <w:rFonts w:ascii="Times New Roman" w:hAnsi="Times New Roman"/>
          <w:sz w:val="24"/>
          <w:lang w:val="en-US"/>
        </w:rPr>
        <w:object w:dxaOrig="9060" w:dyaOrig="12705" w14:anchorId="1F4CE88E">
          <v:shape id="_x0000_i1030" type="#_x0000_t75" style="width:453pt;height:635.25pt" o:ole="">
            <v:imagedata r:id="rId25" o:title=""/>
          </v:shape>
          <o:OLEObject Type="Embed" ProgID="Visio.Drawing.11" ShapeID="_x0000_i1030" DrawAspect="Content" ObjectID="_1472885071" r:id="rId26"/>
        </w:object>
      </w:r>
    </w:p>
    <w:p w14:paraId="744E9C82" w14:textId="77777777" w:rsidR="00B176A3" w:rsidRDefault="00B176A3" w:rsidP="00B176A3">
      <w:pPr>
        <w:pStyle w:val="Heading1"/>
        <w:numPr>
          <w:ilvl w:val="0"/>
          <w:numId w:val="18"/>
        </w:numPr>
        <w:tabs>
          <w:tab w:val="num" w:pos="360"/>
        </w:tabs>
        <w:spacing w:after="60"/>
        <w:ind w:left="0" w:firstLine="0"/>
      </w:pPr>
      <w:bookmarkStart w:id="37" w:name="_Toc206576515"/>
      <w:r>
        <w:lastRenderedPageBreak/>
        <w:t>Allocation options of the PSS functionality</w:t>
      </w:r>
      <w:bookmarkEnd w:id="37"/>
      <w:r>
        <w:t xml:space="preserve"> </w:t>
      </w:r>
    </w:p>
    <w:p w14:paraId="06D70D95" w14:textId="77777777" w:rsidR="00B176A3" w:rsidRDefault="00B176A3" w:rsidP="00B176A3">
      <w:r>
        <w:t>For the Multiple-Node and for the One-Node Service Distribution Configuration there is the following option regarding allocation of the PSS functionality to functional site. This option does not exist – by definition – for the One-Site Service Distribution Configuration.</w:t>
      </w:r>
    </w:p>
    <w:p w14:paraId="0330C541" w14:textId="77777777" w:rsidR="00B176A3" w:rsidRDefault="00B176A3" w:rsidP="00B176A3">
      <w:pPr>
        <w:pStyle w:val="Heading2"/>
        <w:keepNext/>
        <w:numPr>
          <w:ilvl w:val="1"/>
          <w:numId w:val="18"/>
        </w:numPr>
        <w:tabs>
          <w:tab w:val="clear" w:pos="576"/>
          <w:tab w:val="num" w:pos="792"/>
        </w:tabs>
        <w:spacing w:before="240" w:after="60"/>
        <w:ind w:left="792" w:hanging="792"/>
      </w:pPr>
      <w:bookmarkStart w:id="38" w:name="_Toc206576516"/>
      <w:bookmarkStart w:id="39" w:name="_Toc395604441"/>
      <w:r>
        <w:t>Regular and alternative allocation of the PSS</w:t>
      </w:r>
      <w:bookmarkEnd w:id="38"/>
      <w:bookmarkEnd w:id="39"/>
    </w:p>
    <w:p w14:paraId="010C03F7" w14:textId="77777777" w:rsidR="00B176A3" w:rsidRDefault="00B176A3" w:rsidP="00B176A3">
      <w:r>
        <w:t xml:space="preserve">The allocation of the PSS functionality is one configuration parameter of the service under consideration </w:t>
      </w:r>
      <w:r>
        <w:rPr>
          <w:i/>
        </w:rPr>
        <w:t>at planning time</w:t>
      </w:r>
      <w:r>
        <w:t xml:space="preserve">. The options are: </w:t>
      </w:r>
      <w:r>
        <w:rPr>
          <w:b/>
          <w:i/>
        </w:rPr>
        <w:t>PSS at Remote Shore Site (RSS)</w:t>
      </w:r>
      <w:r>
        <w:t xml:space="preserve"> (Figure A3.7), which is the regular case, and </w:t>
      </w:r>
      <w:r>
        <w:rPr>
          <w:b/>
          <w:i/>
        </w:rPr>
        <w:t>PSS at Node Site</w:t>
      </w:r>
      <w:r>
        <w:t xml:space="preserve"> (Figure A3.8), which is the alternative allocation. Both configurations have specific advantages and consequential requirements, both of which depend on the geographical conditions and topological setup of the service under consideration. This chapter will introduce the alternative allocation by contrasting it with the regular allocation.</w:t>
      </w:r>
      <w:r>
        <w:rPr>
          <w:rStyle w:val="FootnoteReference"/>
        </w:rPr>
        <w:footnoteReference w:id="1"/>
      </w:r>
      <w:r>
        <w:t xml:space="preserve"> </w:t>
      </w:r>
    </w:p>
    <w:p w14:paraId="4500DACC" w14:textId="77777777" w:rsidR="00B176A3" w:rsidRDefault="00B176A3" w:rsidP="00B176A3">
      <w:pPr>
        <w:rPr>
          <w:highlight w:val="yellow"/>
        </w:rPr>
      </w:pPr>
    </w:p>
    <w:p w14:paraId="4CD69A32" w14:textId="77777777" w:rsidR="00B176A3" w:rsidRDefault="00B176A3" w:rsidP="00B176A3">
      <w:r>
        <w:t>It should be noted, that even if the PSS functionality should be alternatively allocated at the Node site(s) instead of the Remote Site(s), the PSS functionality would still be independent of LSS functionality. LSS and PSS would still constitute different entities in the AIS Service. That is due to the PSS’s orientation towards the Physical Link.</w:t>
      </w:r>
    </w:p>
    <w:p w14:paraId="5FE651F2" w14:textId="77777777" w:rsidR="00B176A3" w:rsidRDefault="00B176A3" w:rsidP="00B176A3">
      <w:pPr>
        <w:pStyle w:val="Heading2"/>
        <w:keepNext/>
        <w:numPr>
          <w:ilvl w:val="1"/>
          <w:numId w:val="18"/>
        </w:numPr>
        <w:spacing w:before="240" w:after="60"/>
      </w:pPr>
      <w:bookmarkStart w:id="40" w:name="_Toc395604442"/>
      <w:r>
        <w:t>Comparison of regular with alternative allocation configuration</w:t>
      </w:r>
      <w:bookmarkEnd w:id="40"/>
    </w:p>
    <w:p w14:paraId="21E28C54" w14:textId="77777777" w:rsidR="00B176A3" w:rsidRDefault="00B176A3" w:rsidP="00B176A3">
      <w:r>
        <w:t xml:space="preserve">The differences between the two allocation configurations may </w:t>
      </w:r>
      <w:r>
        <w:rPr>
          <w:i/>
        </w:rPr>
        <w:t>appear</w:t>
      </w:r>
      <w:r>
        <w:t xml:space="preserve"> </w:t>
      </w:r>
      <w:r>
        <w:rPr>
          <w:i/>
        </w:rPr>
        <w:t>small at face value</w:t>
      </w:r>
      <w:r>
        <w:t xml:space="preserve">. The consequences may be profound, however. They are in particular </w:t>
      </w:r>
    </w:p>
    <w:p w14:paraId="0B2E3D13" w14:textId="77777777" w:rsidR="00B176A3" w:rsidRDefault="00B176A3" w:rsidP="00B176A3">
      <w:pPr>
        <w:numPr>
          <w:ilvl w:val="0"/>
          <w:numId w:val="38"/>
        </w:numPr>
      </w:pPr>
      <w:r>
        <w:t xml:space="preserve">the functional site </w:t>
      </w:r>
      <w:r>
        <w:rPr>
          <w:b/>
          <w:i/>
        </w:rPr>
        <w:t>allocation</w:t>
      </w:r>
      <w:r>
        <w:t xml:space="preserve"> of the PSS and therefore the </w:t>
      </w:r>
      <w:r>
        <w:rPr>
          <w:b/>
          <w:i/>
        </w:rPr>
        <w:t>housing requirements</w:t>
      </w:r>
      <w:r>
        <w:t xml:space="preserve"> for different sites;</w:t>
      </w:r>
    </w:p>
    <w:p w14:paraId="07E9AB1E" w14:textId="77777777" w:rsidR="00B176A3" w:rsidRDefault="00B176A3" w:rsidP="00B176A3"/>
    <w:p w14:paraId="2A564DA1" w14:textId="77777777" w:rsidR="00B176A3" w:rsidRDefault="00B176A3" w:rsidP="00B176A3">
      <w:pPr>
        <w:numPr>
          <w:ilvl w:val="0"/>
          <w:numId w:val="38"/>
        </w:numPr>
      </w:pPr>
      <w:r>
        <w:t xml:space="preserve">the control and net data exchange between PSS and Physical Link Terminal Equipment Layers is done </w:t>
      </w:r>
      <w:r>
        <w:rPr>
          <w:b/>
          <w:i/>
        </w:rPr>
        <w:t xml:space="preserve">locally </w:t>
      </w:r>
      <w:r>
        <w:t xml:space="preserve">(regular allocation configuration) or </w:t>
      </w:r>
      <w:r>
        <w:rPr>
          <w:b/>
          <w:i/>
        </w:rPr>
        <w:t>remotely</w:t>
      </w:r>
      <w:r>
        <w:t xml:space="preserve"> (alternative allocation configuration); </w:t>
      </w:r>
    </w:p>
    <w:p w14:paraId="4BECE803" w14:textId="77777777" w:rsidR="00B176A3" w:rsidRDefault="00B176A3" w:rsidP="00B176A3"/>
    <w:p w14:paraId="5A8DA2B7" w14:textId="77777777" w:rsidR="00B176A3" w:rsidRDefault="00B176A3" w:rsidP="00B176A3">
      <w:pPr>
        <w:numPr>
          <w:ilvl w:val="0"/>
          <w:numId w:val="38"/>
        </w:numPr>
      </w:pPr>
      <w:r>
        <w:t xml:space="preserve">the PSS </w:t>
      </w:r>
      <w:r>
        <w:rPr>
          <w:b/>
          <w:i/>
        </w:rPr>
        <w:t>either</w:t>
      </w:r>
      <w:r>
        <w:t xml:space="preserve"> controls and processes data to/from </w:t>
      </w:r>
      <w:r>
        <w:rPr>
          <w:b/>
          <w:i/>
        </w:rPr>
        <w:t>locally</w:t>
      </w:r>
      <w:r>
        <w:t xml:space="preserve"> installed Physical Link Terminal Equipment (maybe arranged in sectors) </w:t>
      </w:r>
      <w:r>
        <w:rPr>
          <w:b/>
          <w:i/>
        </w:rPr>
        <w:t>of the local RSS</w:t>
      </w:r>
      <w:r>
        <w:t xml:space="preserve"> </w:t>
      </w:r>
      <w:r>
        <w:rPr>
          <w:b/>
          <w:i/>
        </w:rPr>
        <w:t>only</w:t>
      </w:r>
      <w:r>
        <w:t xml:space="preserve"> as in the regular allocation configuration </w:t>
      </w:r>
      <w:r>
        <w:rPr>
          <w:b/>
          <w:i/>
        </w:rPr>
        <w:t>or</w:t>
      </w:r>
      <w:r>
        <w:t xml:space="preserve"> controls and processes data to/from </w:t>
      </w:r>
      <w:r>
        <w:rPr>
          <w:b/>
          <w:i/>
        </w:rPr>
        <w:t>remotely</w:t>
      </w:r>
      <w:r>
        <w:t xml:space="preserve"> installed Physical Link Terminal Equipment (maybe arranged in sectors) </w:t>
      </w:r>
      <w:r>
        <w:rPr>
          <w:b/>
          <w:i/>
        </w:rPr>
        <w:t>of one or more remote RSS(s)</w:t>
      </w:r>
      <w:r>
        <w:t xml:space="preserve"> connected to that PSS by appropriate WAN feeder links (as in the alternative allocation configuration);</w:t>
      </w:r>
    </w:p>
    <w:p w14:paraId="06A82857" w14:textId="77777777" w:rsidR="00B176A3" w:rsidRDefault="00B176A3" w:rsidP="00B176A3"/>
    <w:p w14:paraId="7C204D9F" w14:textId="77777777" w:rsidR="00B176A3" w:rsidRDefault="00B176A3" w:rsidP="00B176A3">
      <w:pPr>
        <w:numPr>
          <w:ilvl w:val="0"/>
          <w:numId w:val="38"/>
        </w:numPr>
      </w:pPr>
      <w:proofErr w:type="gramStart"/>
      <w:r>
        <w:t>the</w:t>
      </w:r>
      <w:proofErr w:type="gramEnd"/>
      <w:r>
        <w:t xml:space="preserve"> </w:t>
      </w:r>
      <w:r>
        <w:rPr>
          <w:b/>
          <w:i/>
        </w:rPr>
        <w:t>permissible modes of operation for Physical Link Terminal Equipment at some technologies</w:t>
      </w:r>
      <w:r>
        <w:t xml:space="preserve"> due to time latency considerations by introduction of the remote functional connection (WAN feeder link). Example from the AIS Service: With the alternative allocation of the PSS, only AIS Base Stations operating in Independent Mode can be used, while the regular allocation with the PSS at the Remote Site would still allow for a choice between the AIS Base Station in Dependent and Independent Mode;</w:t>
      </w:r>
    </w:p>
    <w:p w14:paraId="7E4EB98E" w14:textId="77777777" w:rsidR="00B176A3" w:rsidRDefault="00B176A3" w:rsidP="00B176A3"/>
    <w:p w14:paraId="2D3172E6" w14:textId="77777777" w:rsidR="00B176A3" w:rsidRDefault="00B176A3" w:rsidP="00B176A3">
      <w:pPr>
        <w:numPr>
          <w:ilvl w:val="0"/>
          <w:numId w:val="38"/>
        </w:numPr>
      </w:pPr>
      <w:r>
        <w:t xml:space="preserve">the </w:t>
      </w:r>
      <w:r>
        <w:rPr>
          <w:b/>
          <w:i/>
        </w:rPr>
        <w:t>different sets of requirements for the WAN feeder links</w:t>
      </w:r>
      <w:r>
        <w:t xml:space="preserve"> connecting the RSS sites with the Node site(s) </w:t>
      </w:r>
      <w:r>
        <w:rPr>
          <w:b/>
          <w:i/>
        </w:rPr>
        <w:t>and different costs incurred</w:t>
      </w:r>
      <w:r>
        <w:t>: While the PSS at the Remote site may pre-process incoming data from the Physical Link before sending data to the Node sites (and vice versa for outgoing data to the Physical Link) with the goal to reduce the bandwidth required for the WAN feeder link in the case of the regular allocation configuration, this may not be done with the alternative allocation configuration. The latter may require higher bandwidth for all WAN feeder links involved in total. This may have a direct bearing on the amount of running costs for the WAN feeder links;</w:t>
      </w:r>
    </w:p>
    <w:p w14:paraId="5D11B433" w14:textId="77777777" w:rsidR="00B176A3" w:rsidRDefault="00B176A3" w:rsidP="00B176A3"/>
    <w:p w14:paraId="0B3AEFC8" w14:textId="77777777" w:rsidR="00B176A3" w:rsidRDefault="00B176A3" w:rsidP="00B176A3">
      <w:pPr>
        <w:numPr>
          <w:ilvl w:val="0"/>
          <w:numId w:val="38"/>
        </w:numPr>
      </w:pPr>
      <w:r>
        <w:rPr>
          <w:b/>
          <w:i/>
        </w:rPr>
        <w:lastRenderedPageBreak/>
        <w:t>Should the WAN feeder link fail</w:t>
      </w:r>
      <w:r>
        <w:t xml:space="preserve">, the PSS may still perform relevant control and some data processing functionalities autonomously on-site in the regular allocation configuration, while this is no longer possible with the alternative allocation configuration. Hence, the different allocation configurations differ </w:t>
      </w:r>
      <w:r>
        <w:rPr>
          <w:b/>
          <w:i/>
        </w:rPr>
        <w:t>regarding availability, reliability, and continuity</w:t>
      </w:r>
      <w:r>
        <w:t xml:space="preserve">. </w:t>
      </w:r>
    </w:p>
    <w:p w14:paraId="6F0D8AAB" w14:textId="77777777" w:rsidR="00B176A3" w:rsidRDefault="00B176A3" w:rsidP="00B176A3">
      <w:pPr>
        <w:ind w:left="60"/>
      </w:pPr>
    </w:p>
    <w:p w14:paraId="758DB91B" w14:textId="77777777" w:rsidR="00B176A3" w:rsidRDefault="00B176A3" w:rsidP="00B176A3">
      <w:pPr>
        <w:ind w:left="60"/>
      </w:pPr>
      <w:r>
        <w:t>From the above list it follows, that the bearing of the two different allocation configurations on the design of the service of an administration is more significant than it appears at face value. Hence, these aspects should be considered when creating the Distribution Model for the service under consideration.</w:t>
      </w:r>
    </w:p>
    <w:p w14:paraId="59032BBB" w14:textId="77777777" w:rsidR="00B176A3" w:rsidRDefault="00B176A3" w:rsidP="00B176A3">
      <w:pPr>
        <w:rPr>
          <w:highlight w:val="yellow"/>
        </w:rPr>
      </w:pPr>
      <w:r>
        <w:rPr>
          <w:highlight w:val="yellow"/>
        </w:rPr>
        <w:t xml:space="preserve"> </w:t>
      </w:r>
    </w:p>
    <w:p w14:paraId="69B18690" w14:textId="77777777" w:rsidR="00B176A3" w:rsidRDefault="00B176A3" w:rsidP="00B176A3">
      <w:pPr>
        <w:rPr>
          <w:highlight w:val="yellow"/>
        </w:rPr>
        <w:sectPr w:rsidR="00B176A3">
          <w:pgSz w:w="11906" w:h="16838"/>
          <w:pgMar w:top="1417" w:right="1417" w:bottom="1134" w:left="1417" w:header="708" w:footer="708" w:gutter="0"/>
          <w:cols w:space="720"/>
        </w:sectPr>
      </w:pPr>
    </w:p>
    <w:p w14:paraId="5A843626" w14:textId="77777777" w:rsidR="00B176A3" w:rsidRDefault="00B176A3" w:rsidP="00B176A3">
      <w:pPr>
        <w:rPr>
          <w:highlight w:val="yellow"/>
        </w:rPr>
      </w:pPr>
      <w:r>
        <w:rPr>
          <w:rFonts w:ascii="Times New Roman" w:hAnsi="Times New Roman"/>
          <w:sz w:val="24"/>
          <w:lang w:val="en-US"/>
        </w:rPr>
        <w:object w:dxaOrig="14280" w:dyaOrig="7995" w14:anchorId="64824F33">
          <v:shape id="_x0000_i1031" type="#_x0000_t75" style="width:714pt;height:399.75pt" o:ole="">
            <v:imagedata r:id="rId27" o:title=""/>
          </v:shape>
          <o:OLEObject Type="Embed" ProgID="Visio.Drawing.11" ShapeID="_x0000_i1031" DrawAspect="Content" ObjectID="_1472885072" r:id="rId28"/>
        </w:object>
      </w:r>
    </w:p>
    <w:p w14:paraId="1D1E48F7" w14:textId="77777777" w:rsidR="00B176A3" w:rsidRDefault="00B176A3" w:rsidP="00B176A3">
      <w:pPr>
        <w:rPr>
          <w:b/>
          <w:u w:val="single"/>
        </w:rPr>
      </w:pPr>
      <w:r>
        <w:rPr>
          <w:b/>
          <w:u w:val="single"/>
        </w:rPr>
        <w:t>Figure A3.7: Regular allocation configuration; PSS at the Remote Shore Site (premise A)</w:t>
      </w:r>
    </w:p>
    <w:p w14:paraId="2DE1FA8E" w14:textId="77777777" w:rsidR="00B176A3" w:rsidRDefault="00B176A3" w:rsidP="00B176A3">
      <w:pPr>
        <w:rPr>
          <w:b/>
          <w:highlight w:val="yellow"/>
        </w:rPr>
      </w:pPr>
      <w:r>
        <w:rPr>
          <w:b/>
          <w:highlight w:val="yellow"/>
        </w:rPr>
        <w:br w:type="page"/>
      </w:r>
      <w:r>
        <w:rPr>
          <w:rFonts w:ascii="Times New Roman" w:hAnsi="Times New Roman"/>
          <w:sz w:val="24"/>
          <w:lang w:val="en-US"/>
        </w:rPr>
        <w:object w:dxaOrig="14265" w:dyaOrig="7950" w14:anchorId="76253988">
          <v:shape id="_x0000_i1032" type="#_x0000_t75" style="width:713.25pt;height:397.5pt" o:ole="">
            <v:imagedata r:id="rId29" o:title=""/>
          </v:shape>
          <o:OLEObject Type="Embed" ProgID="Visio.Drawing.11" ShapeID="_x0000_i1032" DrawAspect="Content" ObjectID="_1472885073" r:id="rId30"/>
        </w:object>
      </w:r>
    </w:p>
    <w:p w14:paraId="5155F6B9" w14:textId="77777777" w:rsidR="00B176A3" w:rsidRDefault="00B176A3" w:rsidP="00B176A3">
      <w:pPr>
        <w:rPr>
          <w:b/>
          <w:u w:val="single"/>
        </w:rPr>
      </w:pPr>
      <w:r>
        <w:rPr>
          <w:b/>
          <w:u w:val="single"/>
        </w:rPr>
        <w:t>Figure A3.8: Alternative allocation configuration; PSS at the Node Site (premise N)</w:t>
      </w:r>
    </w:p>
    <w:p w14:paraId="69E6E894" w14:textId="77777777" w:rsidR="00B176A3" w:rsidRDefault="00B176A3" w:rsidP="00B176A3">
      <w:pPr>
        <w:rPr>
          <w:b/>
          <w:highlight w:val="yellow"/>
        </w:rPr>
        <w:sectPr w:rsidR="00B176A3">
          <w:pgSz w:w="16838" w:h="11906" w:orient="landscape"/>
          <w:pgMar w:top="1418" w:right="1418" w:bottom="1418" w:left="1134" w:header="709" w:footer="709" w:gutter="0"/>
          <w:cols w:space="720"/>
        </w:sectPr>
      </w:pPr>
    </w:p>
    <w:p w14:paraId="5A7559A5" w14:textId="77777777" w:rsidR="00B176A3" w:rsidRDefault="00B176A3" w:rsidP="00B176A3">
      <w:pPr>
        <w:pStyle w:val="Heading2"/>
        <w:keepNext/>
        <w:numPr>
          <w:ilvl w:val="1"/>
          <w:numId w:val="18"/>
        </w:numPr>
        <w:spacing w:before="240" w:after="60"/>
      </w:pPr>
      <w:bookmarkStart w:id="41" w:name="_Toc395604443"/>
      <w:r>
        <w:lastRenderedPageBreak/>
        <w:t>Typical fields of application and general recommendation</w:t>
      </w:r>
      <w:bookmarkEnd w:id="41"/>
    </w:p>
    <w:p w14:paraId="62FCEDA6" w14:textId="77777777" w:rsidR="00B176A3" w:rsidRDefault="00B176A3" w:rsidP="00B176A3">
      <w:r>
        <w:t>This section finally identifies criteria and provides recommendation regarding the fields of application of the two modes of operation, which use the concepts developed in previous chapters.</w:t>
      </w:r>
    </w:p>
    <w:p w14:paraId="1C35E9ED" w14:textId="77777777" w:rsidR="00B176A3" w:rsidRDefault="00B176A3" w:rsidP="00B176A3">
      <w:pPr>
        <w:pStyle w:val="Heading3"/>
        <w:numPr>
          <w:ilvl w:val="2"/>
          <w:numId w:val="18"/>
        </w:numPr>
        <w:tabs>
          <w:tab w:val="clear" w:pos="851"/>
        </w:tabs>
        <w:spacing w:before="240" w:after="60"/>
      </w:pPr>
      <w:bookmarkStart w:id="42" w:name="_Toc395604444"/>
      <w:r>
        <w:t>Typical fields of application for the regular PSS allocation configuration</w:t>
      </w:r>
      <w:bookmarkEnd w:id="42"/>
    </w:p>
    <w:p w14:paraId="5B5BDCCC" w14:textId="77777777" w:rsidR="00B176A3" w:rsidRDefault="00B176A3" w:rsidP="00B176A3">
      <w:r>
        <w:t>Criteria which support the regular PSS allocation configuration are:</w:t>
      </w:r>
    </w:p>
    <w:p w14:paraId="6E3264AF" w14:textId="77777777" w:rsidR="00B176A3" w:rsidRDefault="00B176A3" w:rsidP="00B176A3">
      <w:pPr>
        <w:numPr>
          <w:ilvl w:val="0"/>
          <w:numId w:val="39"/>
        </w:numPr>
      </w:pPr>
      <w:r>
        <w:rPr>
          <w:i/>
        </w:rPr>
        <w:t>Multiple sectors at one RSS:</w:t>
      </w:r>
      <w:r>
        <w:t xml:space="preserve"> The more sectors at RSS are needed depending on the coverage planning, the larger the demands on the PSS regarding pre-processing of received data in order to avoid superfluous transmission of data via WAN Feeder links. The same holds true in principle for the transmission of data, the extent of which is dependent on the specific Physical Link served by the service under consideration. </w:t>
      </w:r>
    </w:p>
    <w:p w14:paraId="1E4D80F7" w14:textId="77777777" w:rsidR="00B176A3" w:rsidRDefault="00B176A3" w:rsidP="00B176A3">
      <w:pPr>
        <w:numPr>
          <w:ilvl w:val="0"/>
          <w:numId w:val="39"/>
        </w:numPr>
      </w:pPr>
      <w:r>
        <w:rPr>
          <w:i/>
        </w:rPr>
        <w:t xml:space="preserve">Several or many different Physical Links to be served at one RSS of the same service under consideration: </w:t>
      </w:r>
      <w:r>
        <w:t xml:space="preserve">similar rationale as with multiple sectors, but more demand on the PSS regarding co-ordinated control (and data pre-processing as above) of the different sets of Physical Link Terminal </w:t>
      </w:r>
      <w:proofErr w:type="spellStart"/>
      <w:r>
        <w:t>Equipments</w:t>
      </w:r>
      <w:proofErr w:type="spellEnd"/>
      <w:r>
        <w:t xml:space="preserve"> serving the different Physical Links.</w:t>
      </w:r>
    </w:p>
    <w:p w14:paraId="1E595315" w14:textId="77777777" w:rsidR="00B176A3" w:rsidRDefault="00B176A3" w:rsidP="00B176A3">
      <w:pPr>
        <w:numPr>
          <w:ilvl w:val="0"/>
          <w:numId w:val="39"/>
        </w:numPr>
      </w:pPr>
      <w:r>
        <w:rPr>
          <w:i/>
        </w:rPr>
        <w:t>Combination of several or many different Physical Links to be served at one RSS of the same service under consideration with multiple sectors:</w:t>
      </w:r>
      <w:r>
        <w:t xml:space="preserve"> combination of the reasons above.</w:t>
      </w:r>
    </w:p>
    <w:p w14:paraId="63D50DD1" w14:textId="77777777" w:rsidR="00B176A3" w:rsidRDefault="00B176A3" w:rsidP="00B176A3">
      <w:pPr>
        <w:numPr>
          <w:ilvl w:val="0"/>
          <w:numId w:val="39"/>
        </w:numPr>
      </w:pPr>
      <w:r>
        <w:rPr>
          <w:i/>
        </w:rPr>
        <w:t xml:space="preserve">Highly unreliable landlines </w:t>
      </w:r>
    </w:p>
    <w:p w14:paraId="7F7FE5CF" w14:textId="77777777" w:rsidR="00B176A3" w:rsidRDefault="00B176A3" w:rsidP="00B176A3">
      <w:pPr>
        <w:pStyle w:val="Heading3"/>
        <w:numPr>
          <w:ilvl w:val="2"/>
          <w:numId w:val="18"/>
        </w:numPr>
        <w:tabs>
          <w:tab w:val="clear" w:pos="851"/>
        </w:tabs>
        <w:spacing w:before="240" w:after="60"/>
      </w:pPr>
      <w:bookmarkStart w:id="43" w:name="_Toc395604445"/>
      <w:r>
        <w:t>Typical fields of application for the alternative PSS allocation configuration</w:t>
      </w:r>
      <w:bookmarkEnd w:id="43"/>
    </w:p>
    <w:p w14:paraId="68A04310" w14:textId="77777777" w:rsidR="00B176A3" w:rsidRDefault="00B176A3" w:rsidP="00B176A3">
      <w:r>
        <w:t>Criteria which support the alternative PSS allocation configuration are:</w:t>
      </w:r>
    </w:p>
    <w:p w14:paraId="6739A93B" w14:textId="77777777" w:rsidR="00B176A3" w:rsidRDefault="00B176A3" w:rsidP="00B176A3">
      <w:pPr>
        <w:numPr>
          <w:ilvl w:val="0"/>
          <w:numId w:val="40"/>
        </w:numPr>
        <w:rPr>
          <w:i/>
        </w:rPr>
      </w:pPr>
      <w:r>
        <w:rPr>
          <w:i/>
        </w:rPr>
        <w:t xml:space="preserve">One-Sector-RSS result predominantly from coverage planning: </w:t>
      </w:r>
      <w:r>
        <w:t>If coverage planning of the service under consideration results in a dominant number of RSS with only one sector and a single piece of Physical Link Terminal Equipment and Physical Link Coupler each at those RSSs, alternative PSS allocation configuration should be considered.</w:t>
      </w:r>
    </w:p>
    <w:p w14:paraId="2A1E3645" w14:textId="77777777" w:rsidR="00B176A3" w:rsidRDefault="00B176A3" w:rsidP="00B176A3">
      <w:pPr>
        <w:pStyle w:val="Heading3"/>
        <w:numPr>
          <w:ilvl w:val="2"/>
          <w:numId w:val="18"/>
        </w:numPr>
        <w:tabs>
          <w:tab w:val="clear" w:pos="851"/>
        </w:tabs>
        <w:spacing w:before="240" w:after="60"/>
      </w:pPr>
      <w:bookmarkStart w:id="44" w:name="_Toc395604446"/>
      <w:r>
        <w:t>Hybrid allocation configurations</w:t>
      </w:r>
      <w:bookmarkEnd w:id="44"/>
    </w:p>
    <w:p w14:paraId="6414B5E1" w14:textId="77777777" w:rsidR="00B176A3" w:rsidRDefault="00B176A3" w:rsidP="00B176A3">
      <w:r>
        <w:t xml:space="preserve">The two different PSS allocation configurations could also be used in a geographically extended service in a </w:t>
      </w:r>
      <w:r>
        <w:rPr>
          <w:i/>
        </w:rPr>
        <w:t>hybrid</w:t>
      </w:r>
      <w:r>
        <w:t xml:space="preserve"> fashion, when local or regional conditions require so. In particular, there may be different PSS allocation configurations </w:t>
      </w:r>
      <w:r>
        <w:rPr>
          <w:i/>
        </w:rPr>
        <w:t>from one to another</w:t>
      </w:r>
      <w:r>
        <w:t xml:space="preserve"> Node site in </w:t>
      </w:r>
      <w:r>
        <w:rPr>
          <w:i/>
        </w:rPr>
        <w:t>Multiple-Node Service Configurations</w:t>
      </w:r>
      <w:r>
        <w:t xml:space="preserve">, but also hybrid PSS allocations configurations within the </w:t>
      </w:r>
      <w:r>
        <w:rPr>
          <w:i/>
        </w:rPr>
        <w:t>same</w:t>
      </w:r>
      <w:r>
        <w:t xml:space="preserve"> Node for both the </w:t>
      </w:r>
      <w:r>
        <w:rPr>
          <w:i/>
        </w:rPr>
        <w:t>Multiple-Node and the One-Node Service Configurations</w:t>
      </w:r>
      <w:r>
        <w:t xml:space="preserve">. </w:t>
      </w:r>
    </w:p>
    <w:p w14:paraId="09925727" w14:textId="77777777" w:rsidR="00B176A3" w:rsidRDefault="00B176A3" w:rsidP="00B176A3">
      <w:pPr>
        <w:rPr>
          <w:highlight w:val="yellow"/>
        </w:rPr>
      </w:pPr>
    </w:p>
    <w:p w14:paraId="4E26218C" w14:textId="77777777" w:rsidR="00B176A3" w:rsidRDefault="00B176A3" w:rsidP="00B176A3">
      <w:r>
        <w:t xml:space="preserve">It should be noted, that from a life-cycle management point of view, hybrid PSS allocation configurations within the same service under consideration may incur additional expenditure and/or workload for Technical Operation Personnel as well as for Technical Development Personnel, and may be more susceptible for run-time configuration errors made by the Technical Operation Personnel. </w:t>
      </w:r>
    </w:p>
    <w:p w14:paraId="27E1E269" w14:textId="77777777" w:rsidR="00B176A3" w:rsidRDefault="00B176A3" w:rsidP="00B176A3">
      <w:pPr>
        <w:pStyle w:val="Heading3"/>
        <w:numPr>
          <w:ilvl w:val="2"/>
          <w:numId w:val="18"/>
        </w:numPr>
        <w:tabs>
          <w:tab w:val="clear" w:pos="851"/>
        </w:tabs>
        <w:spacing w:before="240" w:after="60"/>
        <w:rPr>
          <w:i/>
        </w:rPr>
      </w:pPr>
      <w:bookmarkStart w:id="45" w:name="_Toc395604447"/>
      <w:r>
        <w:t>General Recommendation</w:t>
      </w:r>
      <w:bookmarkEnd w:id="45"/>
    </w:p>
    <w:p w14:paraId="1FB794DD" w14:textId="77777777" w:rsidR="00B176A3" w:rsidRDefault="00B176A3" w:rsidP="00B176A3">
      <w:r>
        <w:rPr>
          <w:b/>
          <w:i/>
        </w:rPr>
        <w:t>While it is generally recommended for the above reasons, that the regular PSS allocation setup should be used,</w:t>
      </w:r>
      <w:r>
        <w:t xml:space="preserve"> the potential benefits and the potential disadvantages of the alternative PSS allocation should be carefully considered taking into account the local or regional conditions and requirements.</w:t>
      </w:r>
    </w:p>
    <w:bookmarkEnd w:id="2"/>
    <w:p w14:paraId="38AB84A6" w14:textId="77777777" w:rsidR="00C36DAD" w:rsidRDefault="00C36DAD" w:rsidP="00B176A3">
      <w:pPr>
        <w:pStyle w:val="Heading1"/>
        <w:numPr>
          <w:ilvl w:val="0"/>
          <w:numId w:val="0"/>
        </w:numPr>
      </w:pPr>
    </w:p>
    <w:sectPr w:rsidR="00C36DAD" w:rsidSect="00AB2FA0">
      <w:headerReference w:type="default" r:id="rId31"/>
      <w:footerReference w:type="default" r:id="rId32"/>
      <w:headerReference w:type="first" r:id="rId33"/>
      <w:pgSz w:w="11906" w:h="16838"/>
      <w:pgMar w:top="1134" w:right="1134" w:bottom="1134" w:left="1418" w:header="567" w:footer="567"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2770D04B" w14:textId="77777777" w:rsidR="007E369F" w:rsidRDefault="007E369F" w:rsidP="009E1230">
      <w:r>
        <w:separator/>
      </w:r>
    </w:p>
  </w:endnote>
  <w:endnote w:type="continuationSeparator" w:id="0">
    <w:p w14:paraId="725042DC" w14:textId="77777777" w:rsidR="007E369F" w:rsidRDefault="007E369F" w:rsidP="009E123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2A87" w:usb1="80000000" w:usb2="00000008"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20002A87" w:usb1="80000000" w:usb2="00000008" w:usb3="00000000" w:csb0="000001FF" w:csb1="00000000"/>
  </w:font>
  <w:font w:name="Calibri">
    <w:panose1 w:val="020F0502020204030204"/>
    <w:charset w:val="00"/>
    <w:family w:val="swiss"/>
    <w:pitch w:val="variable"/>
    <w:sig w:usb0="E10002FF" w:usb1="4000ACFF" w:usb2="00000009" w:usb3="00000000" w:csb0="0000019F" w:csb1="00000000"/>
  </w:font>
  <w:font w:name="Times">
    <w:panose1 w:val="02020603050405020304"/>
    <w:charset w:val="00"/>
    <w:family w:val="roman"/>
    <w:pitch w:val="variable"/>
    <w:sig w:usb0="E0002AFF" w:usb1="C0007841"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MS Mincho">
    <w:altName w:val="ＭＳ 明朝"/>
    <w:panose1 w:val="02020609040205080304"/>
    <w:charset w:val="80"/>
    <w:family w:val="modern"/>
    <w:pitch w:val="fixed"/>
    <w:sig w:usb0="A00002BF" w:usb1="68C7FCFB" w:usb2="00000010" w:usb3="00000000" w:csb0="0002009F" w:csb1="00000000"/>
  </w:font>
  <w:font w:name="MS Gothic">
    <w:altName w:val="ＭＳ ゴシック"/>
    <w:panose1 w:val="020B0609070205080204"/>
    <w:charset w:val="80"/>
    <w:family w:val="modern"/>
    <w:notTrueType/>
    <w:pitch w:val="fixed"/>
    <w:sig w:usb0="00000001" w:usb1="08070000" w:usb2="00000010" w:usb3="00000000" w:csb0="00020000"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0DC42B8" w14:textId="77777777" w:rsidR="009E1230" w:rsidRPr="008136BC" w:rsidRDefault="009E1230" w:rsidP="00AB2FA0">
    <w:pPr>
      <w:pStyle w:val="Footer"/>
    </w:pPr>
    <w:r w:rsidRPr="008136BC">
      <w:tab/>
    </w:r>
    <w:r w:rsidRPr="008136BC">
      <w:rPr>
        <w:lang w:val="en-US"/>
      </w:rPr>
      <w:t xml:space="preserve">Page </w:t>
    </w:r>
    <w:r w:rsidR="00F46430" w:rsidRPr="008136BC">
      <w:rPr>
        <w:lang w:val="en-US"/>
      </w:rPr>
      <w:fldChar w:fldCharType="begin"/>
    </w:r>
    <w:r w:rsidRPr="008136BC">
      <w:rPr>
        <w:lang w:val="en-US"/>
      </w:rPr>
      <w:instrText xml:space="preserve"> PAGE </w:instrText>
    </w:r>
    <w:r w:rsidR="00F46430" w:rsidRPr="008136BC">
      <w:rPr>
        <w:lang w:val="en-US"/>
      </w:rPr>
      <w:fldChar w:fldCharType="separate"/>
    </w:r>
    <w:r w:rsidR="00B176A3">
      <w:rPr>
        <w:noProof/>
        <w:lang w:val="en-US"/>
      </w:rPr>
      <w:t>4</w:t>
    </w:r>
    <w:r w:rsidR="00F46430" w:rsidRPr="008136BC">
      <w:rPr>
        <w:lang w:val="en-US"/>
      </w:rPr>
      <w:fldChar w:fldCharType="end"/>
    </w:r>
    <w:r w:rsidRPr="008136BC">
      <w:rPr>
        <w:lang w:val="en-US"/>
      </w:rPr>
      <w:t xml:space="preserve"> of </w:t>
    </w:r>
    <w:r w:rsidR="00F46430" w:rsidRPr="008136BC">
      <w:rPr>
        <w:lang w:val="en-US"/>
      </w:rPr>
      <w:fldChar w:fldCharType="begin"/>
    </w:r>
    <w:r w:rsidRPr="008136BC">
      <w:rPr>
        <w:lang w:val="en-US"/>
      </w:rPr>
      <w:instrText xml:space="preserve"> NUMPAGES </w:instrText>
    </w:r>
    <w:r w:rsidR="00F46430" w:rsidRPr="008136BC">
      <w:rPr>
        <w:lang w:val="en-US"/>
      </w:rPr>
      <w:fldChar w:fldCharType="separate"/>
    </w:r>
    <w:r w:rsidR="00B176A3">
      <w:rPr>
        <w:noProof/>
        <w:lang w:val="en-US"/>
      </w:rPr>
      <w:t>4</w:t>
    </w:r>
    <w:r w:rsidR="00F46430" w:rsidRPr="008136BC">
      <w:rPr>
        <w:lang w:val="en-US"/>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2D37AE92" w14:textId="77777777" w:rsidR="007E369F" w:rsidRDefault="007E369F" w:rsidP="009E1230">
      <w:r>
        <w:separator/>
      </w:r>
    </w:p>
  </w:footnote>
  <w:footnote w:type="continuationSeparator" w:id="0">
    <w:p w14:paraId="0C287E54" w14:textId="77777777" w:rsidR="007E369F" w:rsidRDefault="007E369F" w:rsidP="009E1230">
      <w:r>
        <w:continuationSeparator/>
      </w:r>
    </w:p>
  </w:footnote>
  <w:footnote w:id="1">
    <w:p w14:paraId="236D0951" w14:textId="77777777" w:rsidR="00B176A3" w:rsidRDefault="00B176A3" w:rsidP="00B176A3">
      <w:pPr>
        <w:pStyle w:val="FootnoteText"/>
      </w:pPr>
      <w:r>
        <w:rPr>
          <w:rStyle w:val="FootnoteReference"/>
        </w:rPr>
        <w:footnoteRef/>
      </w:r>
      <w:r>
        <w:t xml:space="preserve"> Regarding Figures A3.7 and A3.8 please note: For simplicity’s sake, there is only one Node shown. Also, only one Remote Site is shown.</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11A2EF8" w14:textId="5488BF8D" w:rsidR="00EB198E" w:rsidRDefault="00EB198E" w:rsidP="002071E2">
    <w:pPr>
      <w:pStyle w:val="Header"/>
      <w:jc w:val="right"/>
      <w:rPr>
        <w:lang w:val="en-US"/>
      </w:rPr>
    </w:pPr>
    <w:r>
      <w:rPr>
        <w:lang w:val="en-US"/>
      </w:rPr>
      <w:t>ENAV15-8.13</w:t>
    </w:r>
  </w:p>
  <w:p w14:paraId="32D3FE72" w14:textId="1D296DCD" w:rsidR="002071E2" w:rsidRPr="002071E2" w:rsidRDefault="00EB198E" w:rsidP="002071E2">
    <w:pPr>
      <w:pStyle w:val="Header"/>
      <w:jc w:val="right"/>
      <w:rPr>
        <w:lang w:val="en-US"/>
      </w:rPr>
    </w:pPr>
    <w:r>
      <w:rPr>
        <w:lang w:val="en-US"/>
      </w:rPr>
      <w:t xml:space="preserve">Formerly </w:t>
    </w:r>
    <w:r w:rsidR="00082DDD">
      <w:rPr>
        <w:lang w:val="en-US"/>
      </w:rPr>
      <w:t>CSSA1-5</w:t>
    </w:r>
    <w:r w:rsidR="002071E2">
      <w:rPr>
        <w:lang w:val="en-US"/>
      </w:rPr>
      <w:t>.6</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48AFAA3" w14:textId="01710DEF" w:rsidR="008136BC" w:rsidRDefault="008136BC" w:rsidP="0004410E">
    <w:pPr>
      <w:pStyle w:val="Header"/>
      <w:jc w:val="center"/>
      <w:rPr>
        <w:highlight w:val="yellow"/>
      </w:rPr>
    </w:pPr>
    <w:r w:rsidRPr="00274C38">
      <w:t>Recommendation</w:t>
    </w:r>
    <w:r w:rsidR="004C2F5C" w:rsidRPr="00274C38">
      <w:t xml:space="preserve"> </w:t>
    </w:r>
    <w:r w:rsidR="00274C38" w:rsidRPr="00274C38">
      <w:t>ENAV</w:t>
    </w:r>
    <w:r w:rsidR="004C2F5C" w:rsidRPr="00274C38">
      <w:t>-</w:t>
    </w:r>
    <w:r w:rsidR="00274C38">
      <w:rPr>
        <w:highlight w:val="yellow"/>
      </w:rPr>
      <w:t>[</w:t>
    </w:r>
    <w:r w:rsidR="004C2F5C">
      <w:rPr>
        <w:highlight w:val="yellow"/>
      </w:rPr>
      <w:t>###</w:t>
    </w:r>
    <w:r w:rsidR="00274C38">
      <w:rPr>
        <w:highlight w:val="yellow"/>
      </w:rPr>
      <w:t>]</w:t>
    </w:r>
    <w:r w:rsidR="0044047B" w:rsidRPr="00274C38">
      <w:t xml:space="preserve"> </w:t>
    </w:r>
    <w:r w:rsidRPr="00274C38">
      <w:t xml:space="preserve">– </w:t>
    </w:r>
    <w:r w:rsidR="005D08CF" w:rsidRPr="00C36DAD">
      <w:t xml:space="preserve">Appendix </w:t>
    </w:r>
    <w:r w:rsidR="00C36DAD" w:rsidRPr="00C36DAD">
      <w:t>3</w:t>
    </w:r>
    <w:r w:rsidR="005D08CF" w:rsidRPr="00C36DAD">
      <w:t xml:space="preserve"> </w:t>
    </w:r>
    <w:r w:rsidR="00C36DAD" w:rsidRPr="00C36DAD">
      <w:t>–</w:t>
    </w:r>
    <w:r w:rsidR="005D08CF" w:rsidRPr="00C36DAD">
      <w:t xml:space="preserve"> </w:t>
    </w:r>
    <w:r w:rsidR="00C36DAD" w:rsidRPr="00C36DAD">
      <w:t>Service Distribution Model</w:t>
    </w:r>
  </w:p>
  <w:p w14:paraId="32BDFF21" w14:textId="7CFAC685" w:rsidR="008136BC" w:rsidRDefault="00274C38" w:rsidP="008136BC">
    <w:pPr>
      <w:pBdr>
        <w:bottom w:val="single" w:sz="4" w:space="1" w:color="auto"/>
      </w:pBdr>
      <w:jc w:val="center"/>
    </w:pPr>
    <w:r w:rsidRPr="00274C38">
      <w:rPr>
        <w:rFonts w:cs="Arial"/>
        <w:sz w:val="20"/>
        <w:highlight w:val="yellow"/>
      </w:rPr>
      <w:t>[2015]</w:t>
    </w:r>
    <w:r>
      <w:rPr>
        <w:rFonts w:cs="Arial"/>
        <w:sz w:val="20"/>
      </w:rPr>
      <w:t xml:space="preserve"> Initial Version</w:t>
    </w:r>
  </w:p>
  <w:p w14:paraId="3DF16C81" w14:textId="77777777" w:rsidR="009E1230" w:rsidRDefault="009E1230" w:rsidP="00AB2FA0">
    <w:pPr>
      <w:pStyle w:val="Head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D12C114" w14:textId="77777777" w:rsidR="0004410E" w:rsidRDefault="0004410E" w:rsidP="00D128D4">
    <w:pPr>
      <w:pStyle w:val="Header"/>
      <w:jc w:val="cent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F"/>
    <w:multiLevelType w:val="singleLevel"/>
    <w:tmpl w:val="6B700072"/>
    <w:lvl w:ilvl="0">
      <w:start w:val="1"/>
      <w:numFmt w:val="lowerRoman"/>
      <w:pStyle w:val="ListNumber2"/>
      <w:lvlText w:val="%1)"/>
      <w:lvlJc w:val="left"/>
      <w:pPr>
        <w:tabs>
          <w:tab w:val="num" w:pos="720"/>
        </w:tabs>
        <w:ind w:left="720" w:hanging="360"/>
      </w:pPr>
      <w:rPr>
        <w:rFonts w:hint="default"/>
      </w:rPr>
    </w:lvl>
  </w:abstractNum>
  <w:abstractNum w:abstractNumId="1">
    <w:nsid w:val="FFFFFF88"/>
    <w:multiLevelType w:val="singleLevel"/>
    <w:tmpl w:val="D4CAF136"/>
    <w:lvl w:ilvl="0">
      <w:start w:val="1"/>
      <w:numFmt w:val="lowerLetter"/>
      <w:pStyle w:val="ListNumber"/>
      <w:lvlText w:val="%1)"/>
      <w:lvlJc w:val="left"/>
      <w:pPr>
        <w:tabs>
          <w:tab w:val="num" w:pos="360"/>
        </w:tabs>
        <w:ind w:left="360" w:hanging="360"/>
      </w:pPr>
    </w:lvl>
  </w:abstractNum>
  <w:abstractNum w:abstractNumId="2">
    <w:nsid w:val="002E049D"/>
    <w:multiLevelType w:val="hybridMultilevel"/>
    <w:tmpl w:val="5A54A90A"/>
    <w:lvl w:ilvl="0" w:tplc="04070001">
      <w:start w:val="1"/>
      <w:numFmt w:val="bullet"/>
      <w:lvlText w:val=""/>
      <w:lvlJc w:val="left"/>
      <w:pPr>
        <w:tabs>
          <w:tab w:val="num" w:pos="720"/>
        </w:tabs>
        <w:ind w:left="720" w:hanging="360"/>
      </w:pPr>
      <w:rPr>
        <w:rFonts w:ascii="Symbol" w:hAnsi="Symbol" w:hint="default"/>
      </w:rPr>
    </w:lvl>
    <w:lvl w:ilvl="1" w:tplc="04070003">
      <w:start w:val="1"/>
      <w:numFmt w:val="bullet"/>
      <w:lvlText w:val="o"/>
      <w:lvlJc w:val="left"/>
      <w:pPr>
        <w:tabs>
          <w:tab w:val="num" w:pos="1800"/>
        </w:tabs>
        <w:ind w:left="1800" w:hanging="360"/>
      </w:pPr>
      <w:rPr>
        <w:rFonts w:ascii="Courier New" w:hAnsi="Courier New" w:cs="Courier New" w:hint="default"/>
      </w:rPr>
    </w:lvl>
    <w:lvl w:ilvl="2" w:tplc="04070005">
      <w:start w:val="1"/>
      <w:numFmt w:val="bullet"/>
      <w:lvlText w:val=""/>
      <w:lvlJc w:val="left"/>
      <w:pPr>
        <w:tabs>
          <w:tab w:val="num" w:pos="2520"/>
        </w:tabs>
        <w:ind w:left="2520" w:hanging="360"/>
      </w:pPr>
      <w:rPr>
        <w:rFonts w:ascii="Wingdings" w:hAnsi="Wingdings" w:hint="default"/>
      </w:rPr>
    </w:lvl>
    <w:lvl w:ilvl="3" w:tplc="04070001">
      <w:start w:val="1"/>
      <w:numFmt w:val="bullet"/>
      <w:lvlText w:val=""/>
      <w:lvlJc w:val="left"/>
      <w:pPr>
        <w:tabs>
          <w:tab w:val="num" w:pos="3240"/>
        </w:tabs>
        <w:ind w:left="3240" w:hanging="360"/>
      </w:pPr>
      <w:rPr>
        <w:rFonts w:ascii="Symbol" w:hAnsi="Symbol" w:hint="default"/>
      </w:rPr>
    </w:lvl>
    <w:lvl w:ilvl="4" w:tplc="04070003">
      <w:start w:val="1"/>
      <w:numFmt w:val="bullet"/>
      <w:lvlText w:val="o"/>
      <w:lvlJc w:val="left"/>
      <w:pPr>
        <w:tabs>
          <w:tab w:val="num" w:pos="3960"/>
        </w:tabs>
        <w:ind w:left="3960" w:hanging="360"/>
      </w:pPr>
      <w:rPr>
        <w:rFonts w:ascii="Courier New" w:hAnsi="Courier New" w:cs="Courier New" w:hint="default"/>
      </w:rPr>
    </w:lvl>
    <w:lvl w:ilvl="5" w:tplc="04070005">
      <w:start w:val="1"/>
      <w:numFmt w:val="bullet"/>
      <w:lvlText w:val=""/>
      <w:lvlJc w:val="left"/>
      <w:pPr>
        <w:tabs>
          <w:tab w:val="num" w:pos="4680"/>
        </w:tabs>
        <w:ind w:left="4680" w:hanging="360"/>
      </w:pPr>
      <w:rPr>
        <w:rFonts w:ascii="Wingdings" w:hAnsi="Wingdings" w:hint="default"/>
      </w:rPr>
    </w:lvl>
    <w:lvl w:ilvl="6" w:tplc="04070001">
      <w:start w:val="1"/>
      <w:numFmt w:val="bullet"/>
      <w:lvlText w:val=""/>
      <w:lvlJc w:val="left"/>
      <w:pPr>
        <w:tabs>
          <w:tab w:val="num" w:pos="5400"/>
        </w:tabs>
        <w:ind w:left="5400" w:hanging="360"/>
      </w:pPr>
      <w:rPr>
        <w:rFonts w:ascii="Symbol" w:hAnsi="Symbol" w:hint="default"/>
      </w:rPr>
    </w:lvl>
    <w:lvl w:ilvl="7" w:tplc="04070003">
      <w:start w:val="1"/>
      <w:numFmt w:val="bullet"/>
      <w:lvlText w:val="o"/>
      <w:lvlJc w:val="left"/>
      <w:pPr>
        <w:tabs>
          <w:tab w:val="num" w:pos="6120"/>
        </w:tabs>
        <w:ind w:left="6120" w:hanging="360"/>
      </w:pPr>
      <w:rPr>
        <w:rFonts w:ascii="Courier New" w:hAnsi="Courier New" w:cs="Courier New" w:hint="default"/>
      </w:rPr>
    </w:lvl>
    <w:lvl w:ilvl="8" w:tplc="04070005">
      <w:start w:val="1"/>
      <w:numFmt w:val="bullet"/>
      <w:lvlText w:val=""/>
      <w:lvlJc w:val="left"/>
      <w:pPr>
        <w:tabs>
          <w:tab w:val="num" w:pos="6840"/>
        </w:tabs>
        <w:ind w:left="6840" w:hanging="360"/>
      </w:pPr>
      <w:rPr>
        <w:rFonts w:ascii="Wingdings" w:hAnsi="Wingdings" w:hint="default"/>
      </w:rPr>
    </w:lvl>
  </w:abstractNum>
  <w:abstractNum w:abstractNumId="3">
    <w:nsid w:val="03A21C71"/>
    <w:multiLevelType w:val="hybridMultilevel"/>
    <w:tmpl w:val="DD689B80"/>
    <w:lvl w:ilvl="0" w:tplc="07E88C64">
      <w:start w:val="1"/>
      <w:numFmt w:val="decimal"/>
      <w:pStyle w:val="Appendix"/>
      <w:lvlText w:val="APPENDIX %1"/>
      <w:lvlJc w:val="left"/>
      <w:pPr>
        <w:ind w:left="720" w:hanging="360"/>
      </w:pPr>
      <w:rPr>
        <w:rFonts w:hint="default"/>
        <w:sz w:val="28"/>
        <w:szCs w:val="28"/>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nsid w:val="07BC66F4"/>
    <w:multiLevelType w:val="hybridMultilevel"/>
    <w:tmpl w:val="EC12F20A"/>
    <w:lvl w:ilvl="0" w:tplc="1C7410BE">
      <w:start w:val="1"/>
      <w:numFmt w:val="bullet"/>
      <w:pStyle w:val="Bullet2"/>
      <w:lvlText w:val="-"/>
      <w:lvlJc w:val="left"/>
      <w:pPr>
        <w:ind w:left="1560" w:hanging="360"/>
      </w:pPr>
      <w:rPr>
        <w:rFonts w:ascii="Arial" w:hAnsi="Arial" w:hint="default"/>
      </w:rPr>
    </w:lvl>
    <w:lvl w:ilvl="1" w:tplc="08090003" w:tentative="1">
      <w:start w:val="1"/>
      <w:numFmt w:val="bullet"/>
      <w:lvlText w:val="o"/>
      <w:lvlJc w:val="left"/>
      <w:pPr>
        <w:tabs>
          <w:tab w:val="num" w:pos="2040"/>
        </w:tabs>
        <w:ind w:left="2040" w:hanging="360"/>
      </w:pPr>
      <w:rPr>
        <w:rFonts w:ascii="Courier New" w:hAnsi="Courier New" w:cs="Courier New" w:hint="default"/>
      </w:rPr>
    </w:lvl>
    <w:lvl w:ilvl="2" w:tplc="08090005" w:tentative="1">
      <w:start w:val="1"/>
      <w:numFmt w:val="bullet"/>
      <w:lvlText w:val=""/>
      <w:lvlJc w:val="left"/>
      <w:pPr>
        <w:tabs>
          <w:tab w:val="num" w:pos="2760"/>
        </w:tabs>
        <w:ind w:left="2760" w:hanging="360"/>
      </w:pPr>
      <w:rPr>
        <w:rFonts w:ascii="Wingdings" w:hAnsi="Wingdings" w:hint="default"/>
      </w:rPr>
    </w:lvl>
    <w:lvl w:ilvl="3" w:tplc="08090001" w:tentative="1">
      <w:start w:val="1"/>
      <w:numFmt w:val="bullet"/>
      <w:lvlText w:val=""/>
      <w:lvlJc w:val="left"/>
      <w:pPr>
        <w:tabs>
          <w:tab w:val="num" w:pos="3480"/>
        </w:tabs>
        <w:ind w:left="3480" w:hanging="360"/>
      </w:pPr>
      <w:rPr>
        <w:rFonts w:ascii="Symbol" w:hAnsi="Symbol" w:hint="default"/>
      </w:rPr>
    </w:lvl>
    <w:lvl w:ilvl="4" w:tplc="08090003" w:tentative="1">
      <w:start w:val="1"/>
      <w:numFmt w:val="bullet"/>
      <w:lvlText w:val="o"/>
      <w:lvlJc w:val="left"/>
      <w:pPr>
        <w:tabs>
          <w:tab w:val="num" w:pos="4200"/>
        </w:tabs>
        <w:ind w:left="4200" w:hanging="360"/>
      </w:pPr>
      <w:rPr>
        <w:rFonts w:ascii="Courier New" w:hAnsi="Courier New" w:cs="Courier New" w:hint="default"/>
      </w:rPr>
    </w:lvl>
    <w:lvl w:ilvl="5" w:tplc="08090005" w:tentative="1">
      <w:start w:val="1"/>
      <w:numFmt w:val="bullet"/>
      <w:lvlText w:val=""/>
      <w:lvlJc w:val="left"/>
      <w:pPr>
        <w:tabs>
          <w:tab w:val="num" w:pos="4920"/>
        </w:tabs>
        <w:ind w:left="4920" w:hanging="360"/>
      </w:pPr>
      <w:rPr>
        <w:rFonts w:ascii="Wingdings" w:hAnsi="Wingdings" w:hint="default"/>
      </w:rPr>
    </w:lvl>
    <w:lvl w:ilvl="6" w:tplc="08090001" w:tentative="1">
      <w:start w:val="1"/>
      <w:numFmt w:val="bullet"/>
      <w:lvlText w:val=""/>
      <w:lvlJc w:val="left"/>
      <w:pPr>
        <w:tabs>
          <w:tab w:val="num" w:pos="5640"/>
        </w:tabs>
        <w:ind w:left="5640" w:hanging="360"/>
      </w:pPr>
      <w:rPr>
        <w:rFonts w:ascii="Symbol" w:hAnsi="Symbol" w:hint="default"/>
      </w:rPr>
    </w:lvl>
    <w:lvl w:ilvl="7" w:tplc="08090003" w:tentative="1">
      <w:start w:val="1"/>
      <w:numFmt w:val="bullet"/>
      <w:lvlText w:val="o"/>
      <w:lvlJc w:val="left"/>
      <w:pPr>
        <w:tabs>
          <w:tab w:val="num" w:pos="6360"/>
        </w:tabs>
        <w:ind w:left="6360" w:hanging="360"/>
      </w:pPr>
      <w:rPr>
        <w:rFonts w:ascii="Courier New" w:hAnsi="Courier New" w:cs="Courier New" w:hint="default"/>
      </w:rPr>
    </w:lvl>
    <w:lvl w:ilvl="8" w:tplc="08090005" w:tentative="1">
      <w:start w:val="1"/>
      <w:numFmt w:val="bullet"/>
      <w:lvlText w:val=""/>
      <w:lvlJc w:val="left"/>
      <w:pPr>
        <w:tabs>
          <w:tab w:val="num" w:pos="7080"/>
        </w:tabs>
        <w:ind w:left="7080" w:hanging="360"/>
      </w:pPr>
      <w:rPr>
        <w:rFonts w:ascii="Wingdings" w:hAnsi="Wingdings" w:hint="default"/>
      </w:rPr>
    </w:lvl>
  </w:abstractNum>
  <w:abstractNum w:abstractNumId="5">
    <w:nsid w:val="09AB16A8"/>
    <w:multiLevelType w:val="hybridMultilevel"/>
    <w:tmpl w:val="D3121AC6"/>
    <w:lvl w:ilvl="0" w:tplc="CEC032AA">
      <w:start w:val="2"/>
      <w:numFmt w:val="bullet"/>
      <w:lvlText w:val="-"/>
      <w:lvlJc w:val="left"/>
      <w:pPr>
        <w:tabs>
          <w:tab w:val="num" w:pos="360"/>
        </w:tabs>
        <w:ind w:left="360" w:hanging="360"/>
      </w:pPr>
      <w:rPr>
        <w:rFonts w:ascii="Times New Roman" w:eastAsia="Times New Roman" w:hAnsi="Times New Roman" w:cs="Times New Roman" w:hint="default"/>
      </w:rPr>
    </w:lvl>
    <w:lvl w:ilvl="1" w:tplc="04070003">
      <w:start w:val="1"/>
      <w:numFmt w:val="bullet"/>
      <w:lvlText w:val="o"/>
      <w:lvlJc w:val="left"/>
      <w:pPr>
        <w:tabs>
          <w:tab w:val="num" w:pos="1440"/>
        </w:tabs>
        <w:ind w:left="1440" w:hanging="360"/>
      </w:pPr>
      <w:rPr>
        <w:rFonts w:ascii="Courier New" w:hAnsi="Courier New" w:cs="Courier New" w:hint="default"/>
      </w:rPr>
    </w:lvl>
    <w:lvl w:ilvl="2" w:tplc="04070005">
      <w:start w:val="1"/>
      <w:numFmt w:val="bullet"/>
      <w:lvlText w:val=""/>
      <w:lvlJc w:val="left"/>
      <w:pPr>
        <w:tabs>
          <w:tab w:val="num" w:pos="2160"/>
        </w:tabs>
        <w:ind w:left="2160" w:hanging="360"/>
      </w:pPr>
      <w:rPr>
        <w:rFonts w:ascii="Wingdings" w:hAnsi="Wingdings" w:hint="default"/>
      </w:rPr>
    </w:lvl>
    <w:lvl w:ilvl="3" w:tplc="04070001">
      <w:start w:val="1"/>
      <w:numFmt w:val="bullet"/>
      <w:lvlText w:val=""/>
      <w:lvlJc w:val="left"/>
      <w:pPr>
        <w:tabs>
          <w:tab w:val="num" w:pos="2880"/>
        </w:tabs>
        <w:ind w:left="2880" w:hanging="360"/>
      </w:pPr>
      <w:rPr>
        <w:rFonts w:ascii="Symbol" w:hAnsi="Symbol" w:hint="default"/>
      </w:rPr>
    </w:lvl>
    <w:lvl w:ilvl="4" w:tplc="04070003">
      <w:start w:val="1"/>
      <w:numFmt w:val="bullet"/>
      <w:lvlText w:val="o"/>
      <w:lvlJc w:val="left"/>
      <w:pPr>
        <w:tabs>
          <w:tab w:val="num" w:pos="3600"/>
        </w:tabs>
        <w:ind w:left="3600" w:hanging="360"/>
      </w:pPr>
      <w:rPr>
        <w:rFonts w:ascii="Courier New" w:hAnsi="Courier New" w:cs="Courier New" w:hint="default"/>
      </w:rPr>
    </w:lvl>
    <w:lvl w:ilvl="5" w:tplc="04070005">
      <w:start w:val="1"/>
      <w:numFmt w:val="bullet"/>
      <w:lvlText w:val=""/>
      <w:lvlJc w:val="left"/>
      <w:pPr>
        <w:tabs>
          <w:tab w:val="num" w:pos="4320"/>
        </w:tabs>
        <w:ind w:left="4320" w:hanging="360"/>
      </w:pPr>
      <w:rPr>
        <w:rFonts w:ascii="Wingdings" w:hAnsi="Wingdings" w:hint="default"/>
      </w:rPr>
    </w:lvl>
    <w:lvl w:ilvl="6" w:tplc="04070001">
      <w:start w:val="1"/>
      <w:numFmt w:val="bullet"/>
      <w:lvlText w:val=""/>
      <w:lvlJc w:val="left"/>
      <w:pPr>
        <w:tabs>
          <w:tab w:val="num" w:pos="5040"/>
        </w:tabs>
        <w:ind w:left="5040" w:hanging="360"/>
      </w:pPr>
      <w:rPr>
        <w:rFonts w:ascii="Symbol" w:hAnsi="Symbol" w:hint="default"/>
      </w:rPr>
    </w:lvl>
    <w:lvl w:ilvl="7" w:tplc="04070003">
      <w:start w:val="1"/>
      <w:numFmt w:val="bullet"/>
      <w:lvlText w:val="o"/>
      <w:lvlJc w:val="left"/>
      <w:pPr>
        <w:tabs>
          <w:tab w:val="num" w:pos="5760"/>
        </w:tabs>
        <w:ind w:left="5760" w:hanging="360"/>
      </w:pPr>
      <w:rPr>
        <w:rFonts w:ascii="Courier New" w:hAnsi="Courier New" w:cs="Courier New" w:hint="default"/>
      </w:rPr>
    </w:lvl>
    <w:lvl w:ilvl="8" w:tplc="04070005">
      <w:start w:val="1"/>
      <w:numFmt w:val="bullet"/>
      <w:lvlText w:val=""/>
      <w:lvlJc w:val="left"/>
      <w:pPr>
        <w:tabs>
          <w:tab w:val="num" w:pos="6480"/>
        </w:tabs>
        <w:ind w:left="6480" w:hanging="360"/>
      </w:pPr>
      <w:rPr>
        <w:rFonts w:ascii="Wingdings" w:hAnsi="Wingdings" w:hint="default"/>
      </w:rPr>
    </w:lvl>
  </w:abstractNum>
  <w:abstractNum w:abstractNumId="6">
    <w:nsid w:val="09F23AAB"/>
    <w:multiLevelType w:val="hybridMultilevel"/>
    <w:tmpl w:val="D7A0D16E"/>
    <w:lvl w:ilvl="0" w:tplc="CEC032AA">
      <w:start w:val="2"/>
      <w:numFmt w:val="bullet"/>
      <w:lvlText w:val="-"/>
      <w:lvlJc w:val="left"/>
      <w:pPr>
        <w:tabs>
          <w:tab w:val="num" w:pos="360"/>
        </w:tabs>
        <w:ind w:left="360" w:hanging="360"/>
      </w:pPr>
      <w:rPr>
        <w:rFonts w:ascii="Times New Roman" w:eastAsia="Times New Roman" w:hAnsi="Times New Roman" w:cs="Times New Roman" w:hint="default"/>
      </w:rPr>
    </w:lvl>
    <w:lvl w:ilvl="1" w:tplc="04070003">
      <w:start w:val="1"/>
      <w:numFmt w:val="bullet"/>
      <w:lvlText w:val="o"/>
      <w:lvlJc w:val="left"/>
      <w:pPr>
        <w:tabs>
          <w:tab w:val="num" w:pos="1440"/>
        </w:tabs>
        <w:ind w:left="1440" w:hanging="360"/>
      </w:pPr>
      <w:rPr>
        <w:rFonts w:ascii="Courier New" w:hAnsi="Courier New" w:cs="Courier New" w:hint="default"/>
      </w:rPr>
    </w:lvl>
    <w:lvl w:ilvl="2" w:tplc="04070005">
      <w:start w:val="1"/>
      <w:numFmt w:val="bullet"/>
      <w:lvlText w:val=""/>
      <w:lvlJc w:val="left"/>
      <w:pPr>
        <w:tabs>
          <w:tab w:val="num" w:pos="2160"/>
        </w:tabs>
        <w:ind w:left="2160" w:hanging="360"/>
      </w:pPr>
      <w:rPr>
        <w:rFonts w:ascii="Wingdings" w:hAnsi="Wingdings" w:hint="default"/>
      </w:rPr>
    </w:lvl>
    <w:lvl w:ilvl="3" w:tplc="04070001">
      <w:start w:val="1"/>
      <w:numFmt w:val="bullet"/>
      <w:lvlText w:val=""/>
      <w:lvlJc w:val="left"/>
      <w:pPr>
        <w:tabs>
          <w:tab w:val="num" w:pos="2880"/>
        </w:tabs>
        <w:ind w:left="2880" w:hanging="360"/>
      </w:pPr>
      <w:rPr>
        <w:rFonts w:ascii="Symbol" w:hAnsi="Symbol" w:hint="default"/>
      </w:rPr>
    </w:lvl>
    <w:lvl w:ilvl="4" w:tplc="04070003">
      <w:start w:val="1"/>
      <w:numFmt w:val="bullet"/>
      <w:lvlText w:val="o"/>
      <w:lvlJc w:val="left"/>
      <w:pPr>
        <w:tabs>
          <w:tab w:val="num" w:pos="3600"/>
        </w:tabs>
        <w:ind w:left="3600" w:hanging="360"/>
      </w:pPr>
      <w:rPr>
        <w:rFonts w:ascii="Courier New" w:hAnsi="Courier New" w:cs="Courier New" w:hint="default"/>
      </w:rPr>
    </w:lvl>
    <w:lvl w:ilvl="5" w:tplc="04070005">
      <w:start w:val="1"/>
      <w:numFmt w:val="bullet"/>
      <w:lvlText w:val=""/>
      <w:lvlJc w:val="left"/>
      <w:pPr>
        <w:tabs>
          <w:tab w:val="num" w:pos="4320"/>
        </w:tabs>
        <w:ind w:left="4320" w:hanging="360"/>
      </w:pPr>
      <w:rPr>
        <w:rFonts w:ascii="Wingdings" w:hAnsi="Wingdings" w:hint="default"/>
      </w:rPr>
    </w:lvl>
    <w:lvl w:ilvl="6" w:tplc="04070001">
      <w:start w:val="1"/>
      <w:numFmt w:val="bullet"/>
      <w:lvlText w:val=""/>
      <w:lvlJc w:val="left"/>
      <w:pPr>
        <w:tabs>
          <w:tab w:val="num" w:pos="5040"/>
        </w:tabs>
        <w:ind w:left="5040" w:hanging="360"/>
      </w:pPr>
      <w:rPr>
        <w:rFonts w:ascii="Symbol" w:hAnsi="Symbol" w:hint="default"/>
      </w:rPr>
    </w:lvl>
    <w:lvl w:ilvl="7" w:tplc="04070003">
      <w:start w:val="1"/>
      <w:numFmt w:val="bullet"/>
      <w:lvlText w:val="o"/>
      <w:lvlJc w:val="left"/>
      <w:pPr>
        <w:tabs>
          <w:tab w:val="num" w:pos="5760"/>
        </w:tabs>
        <w:ind w:left="5760" w:hanging="360"/>
      </w:pPr>
      <w:rPr>
        <w:rFonts w:ascii="Courier New" w:hAnsi="Courier New" w:cs="Courier New" w:hint="default"/>
      </w:rPr>
    </w:lvl>
    <w:lvl w:ilvl="8" w:tplc="04070005">
      <w:start w:val="1"/>
      <w:numFmt w:val="bullet"/>
      <w:lvlText w:val=""/>
      <w:lvlJc w:val="left"/>
      <w:pPr>
        <w:tabs>
          <w:tab w:val="num" w:pos="6480"/>
        </w:tabs>
        <w:ind w:left="6480" w:hanging="360"/>
      </w:pPr>
      <w:rPr>
        <w:rFonts w:ascii="Wingdings" w:hAnsi="Wingdings" w:hint="default"/>
      </w:rPr>
    </w:lvl>
  </w:abstractNum>
  <w:abstractNum w:abstractNumId="7">
    <w:nsid w:val="0B1C596E"/>
    <w:multiLevelType w:val="hybridMultilevel"/>
    <w:tmpl w:val="3AA06CC4"/>
    <w:lvl w:ilvl="0" w:tplc="CEC032AA">
      <w:start w:val="2"/>
      <w:numFmt w:val="bullet"/>
      <w:lvlText w:val="-"/>
      <w:lvlJc w:val="left"/>
      <w:pPr>
        <w:tabs>
          <w:tab w:val="num" w:pos="360"/>
        </w:tabs>
        <w:ind w:left="360" w:hanging="360"/>
      </w:pPr>
      <w:rPr>
        <w:rFonts w:ascii="Times New Roman" w:eastAsia="Times New Roman" w:hAnsi="Times New Roman" w:cs="Times New Roman" w:hint="default"/>
      </w:rPr>
    </w:lvl>
    <w:lvl w:ilvl="1" w:tplc="04070003">
      <w:start w:val="1"/>
      <w:numFmt w:val="bullet"/>
      <w:lvlText w:val="o"/>
      <w:lvlJc w:val="left"/>
      <w:pPr>
        <w:tabs>
          <w:tab w:val="num" w:pos="1440"/>
        </w:tabs>
        <w:ind w:left="1440" w:hanging="360"/>
      </w:pPr>
      <w:rPr>
        <w:rFonts w:ascii="Courier New" w:hAnsi="Courier New" w:cs="Courier New" w:hint="default"/>
      </w:rPr>
    </w:lvl>
    <w:lvl w:ilvl="2" w:tplc="04070005">
      <w:start w:val="1"/>
      <w:numFmt w:val="bullet"/>
      <w:lvlText w:val=""/>
      <w:lvlJc w:val="left"/>
      <w:pPr>
        <w:tabs>
          <w:tab w:val="num" w:pos="2160"/>
        </w:tabs>
        <w:ind w:left="2160" w:hanging="360"/>
      </w:pPr>
      <w:rPr>
        <w:rFonts w:ascii="Wingdings" w:hAnsi="Wingdings" w:hint="default"/>
      </w:rPr>
    </w:lvl>
    <w:lvl w:ilvl="3" w:tplc="04070001">
      <w:start w:val="1"/>
      <w:numFmt w:val="bullet"/>
      <w:lvlText w:val=""/>
      <w:lvlJc w:val="left"/>
      <w:pPr>
        <w:tabs>
          <w:tab w:val="num" w:pos="2880"/>
        </w:tabs>
        <w:ind w:left="2880" w:hanging="360"/>
      </w:pPr>
      <w:rPr>
        <w:rFonts w:ascii="Symbol" w:hAnsi="Symbol" w:hint="default"/>
      </w:rPr>
    </w:lvl>
    <w:lvl w:ilvl="4" w:tplc="04070003">
      <w:start w:val="1"/>
      <w:numFmt w:val="bullet"/>
      <w:lvlText w:val="o"/>
      <w:lvlJc w:val="left"/>
      <w:pPr>
        <w:tabs>
          <w:tab w:val="num" w:pos="3600"/>
        </w:tabs>
        <w:ind w:left="3600" w:hanging="360"/>
      </w:pPr>
      <w:rPr>
        <w:rFonts w:ascii="Courier New" w:hAnsi="Courier New" w:cs="Courier New" w:hint="default"/>
      </w:rPr>
    </w:lvl>
    <w:lvl w:ilvl="5" w:tplc="04070005">
      <w:start w:val="1"/>
      <w:numFmt w:val="bullet"/>
      <w:lvlText w:val=""/>
      <w:lvlJc w:val="left"/>
      <w:pPr>
        <w:tabs>
          <w:tab w:val="num" w:pos="4320"/>
        </w:tabs>
        <w:ind w:left="4320" w:hanging="360"/>
      </w:pPr>
      <w:rPr>
        <w:rFonts w:ascii="Wingdings" w:hAnsi="Wingdings" w:hint="default"/>
      </w:rPr>
    </w:lvl>
    <w:lvl w:ilvl="6" w:tplc="04070001">
      <w:start w:val="1"/>
      <w:numFmt w:val="bullet"/>
      <w:lvlText w:val=""/>
      <w:lvlJc w:val="left"/>
      <w:pPr>
        <w:tabs>
          <w:tab w:val="num" w:pos="5040"/>
        </w:tabs>
        <w:ind w:left="5040" w:hanging="360"/>
      </w:pPr>
      <w:rPr>
        <w:rFonts w:ascii="Symbol" w:hAnsi="Symbol" w:hint="default"/>
      </w:rPr>
    </w:lvl>
    <w:lvl w:ilvl="7" w:tplc="04070003">
      <w:start w:val="1"/>
      <w:numFmt w:val="bullet"/>
      <w:lvlText w:val="o"/>
      <w:lvlJc w:val="left"/>
      <w:pPr>
        <w:tabs>
          <w:tab w:val="num" w:pos="5760"/>
        </w:tabs>
        <w:ind w:left="5760" w:hanging="360"/>
      </w:pPr>
      <w:rPr>
        <w:rFonts w:ascii="Courier New" w:hAnsi="Courier New" w:cs="Courier New" w:hint="default"/>
      </w:rPr>
    </w:lvl>
    <w:lvl w:ilvl="8" w:tplc="04070005">
      <w:start w:val="1"/>
      <w:numFmt w:val="bullet"/>
      <w:lvlText w:val=""/>
      <w:lvlJc w:val="left"/>
      <w:pPr>
        <w:tabs>
          <w:tab w:val="num" w:pos="6480"/>
        </w:tabs>
        <w:ind w:left="6480" w:hanging="360"/>
      </w:pPr>
      <w:rPr>
        <w:rFonts w:ascii="Wingdings" w:hAnsi="Wingdings" w:hint="default"/>
      </w:rPr>
    </w:lvl>
  </w:abstractNum>
  <w:abstractNum w:abstractNumId="8">
    <w:nsid w:val="101F1BD4"/>
    <w:multiLevelType w:val="multilevel"/>
    <w:tmpl w:val="AAA2A3FC"/>
    <w:lvl w:ilvl="0">
      <w:start w:val="1"/>
      <w:numFmt w:val="decimal"/>
      <w:lvlText w:val="%1"/>
      <w:lvlJc w:val="left"/>
      <w:pPr>
        <w:tabs>
          <w:tab w:val="num" w:pos="432"/>
        </w:tabs>
        <w:ind w:left="432" w:hanging="432"/>
      </w:pPr>
      <w:rPr>
        <w:lang w:val="en-GB"/>
      </w:rPr>
    </w:lvl>
    <w:lvl w:ilvl="1">
      <w:start w:val="1"/>
      <w:numFmt w:val="decimal"/>
      <w:lvlText w:val="%1.%2"/>
      <w:lvlJc w:val="left"/>
      <w:pPr>
        <w:tabs>
          <w:tab w:val="num" w:pos="576"/>
        </w:tabs>
        <w:ind w:left="576" w:hanging="576"/>
      </w:pPr>
    </w:lvl>
    <w:lvl w:ilvl="2">
      <w:start w:val="1"/>
      <w:numFmt w:val="decimal"/>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9">
    <w:nsid w:val="19C37E91"/>
    <w:multiLevelType w:val="multilevel"/>
    <w:tmpl w:val="1E702340"/>
    <w:lvl w:ilvl="0">
      <w:start w:val="1"/>
      <w:numFmt w:val="decimal"/>
      <w:pStyle w:val="Heading1"/>
      <w:lvlText w:val="%1"/>
      <w:lvlJc w:val="left"/>
      <w:pPr>
        <w:tabs>
          <w:tab w:val="num" w:pos="567"/>
        </w:tabs>
        <w:ind w:left="567" w:hanging="567"/>
      </w:pPr>
      <w:rPr>
        <w:rFonts w:hint="default"/>
      </w:rPr>
    </w:lvl>
    <w:lvl w:ilvl="1">
      <w:start w:val="1"/>
      <w:numFmt w:val="decimal"/>
      <w:pStyle w:val="Heading2"/>
      <w:lvlText w:val="%1.%2"/>
      <w:lvlJc w:val="left"/>
      <w:pPr>
        <w:tabs>
          <w:tab w:val="num" w:pos="851"/>
        </w:tabs>
        <w:ind w:left="851" w:hanging="851"/>
      </w:pPr>
      <w:rPr>
        <w:rFonts w:hint="default"/>
      </w:rPr>
    </w:lvl>
    <w:lvl w:ilvl="2">
      <w:start w:val="1"/>
      <w:numFmt w:val="decimal"/>
      <w:pStyle w:val="Heading3"/>
      <w:lvlText w:val="%1.%2.%3"/>
      <w:lvlJc w:val="left"/>
      <w:pPr>
        <w:tabs>
          <w:tab w:val="num" w:pos="992"/>
        </w:tabs>
        <w:ind w:left="992" w:hanging="992"/>
      </w:pPr>
      <w:rPr>
        <w:rFonts w:hint="default"/>
      </w:rPr>
    </w:lvl>
    <w:lvl w:ilvl="3">
      <w:start w:val="1"/>
      <w:numFmt w:val="decimal"/>
      <w:pStyle w:val="Heading4"/>
      <w:lvlText w:val="%1.%2.%3.%4"/>
      <w:lvlJc w:val="left"/>
      <w:pPr>
        <w:tabs>
          <w:tab w:val="num" w:pos="1134"/>
        </w:tabs>
        <w:ind w:left="1134" w:hanging="113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10">
    <w:nsid w:val="1B513A71"/>
    <w:multiLevelType w:val="hybridMultilevel"/>
    <w:tmpl w:val="97924B28"/>
    <w:lvl w:ilvl="0" w:tplc="CEC032AA">
      <w:start w:val="2"/>
      <w:numFmt w:val="bullet"/>
      <w:lvlText w:val="-"/>
      <w:lvlJc w:val="left"/>
      <w:pPr>
        <w:tabs>
          <w:tab w:val="num" w:pos="360"/>
        </w:tabs>
        <w:ind w:left="360" w:hanging="360"/>
      </w:pPr>
      <w:rPr>
        <w:rFonts w:ascii="Times New Roman" w:eastAsia="Times New Roman" w:hAnsi="Times New Roman" w:cs="Times New Roman" w:hint="default"/>
      </w:rPr>
    </w:lvl>
    <w:lvl w:ilvl="1" w:tplc="04070003">
      <w:start w:val="1"/>
      <w:numFmt w:val="bullet"/>
      <w:lvlText w:val="o"/>
      <w:lvlJc w:val="left"/>
      <w:pPr>
        <w:tabs>
          <w:tab w:val="num" w:pos="1440"/>
        </w:tabs>
        <w:ind w:left="1440" w:hanging="360"/>
      </w:pPr>
      <w:rPr>
        <w:rFonts w:ascii="Courier New" w:hAnsi="Courier New" w:cs="Courier New" w:hint="default"/>
      </w:rPr>
    </w:lvl>
    <w:lvl w:ilvl="2" w:tplc="04070005">
      <w:start w:val="1"/>
      <w:numFmt w:val="bullet"/>
      <w:lvlText w:val=""/>
      <w:lvlJc w:val="left"/>
      <w:pPr>
        <w:tabs>
          <w:tab w:val="num" w:pos="2160"/>
        </w:tabs>
        <w:ind w:left="2160" w:hanging="360"/>
      </w:pPr>
      <w:rPr>
        <w:rFonts w:ascii="Wingdings" w:hAnsi="Wingdings" w:hint="default"/>
      </w:rPr>
    </w:lvl>
    <w:lvl w:ilvl="3" w:tplc="04070001">
      <w:start w:val="1"/>
      <w:numFmt w:val="bullet"/>
      <w:lvlText w:val=""/>
      <w:lvlJc w:val="left"/>
      <w:pPr>
        <w:tabs>
          <w:tab w:val="num" w:pos="2880"/>
        </w:tabs>
        <w:ind w:left="2880" w:hanging="360"/>
      </w:pPr>
      <w:rPr>
        <w:rFonts w:ascii="Symbol" w:hAnsi="Symbol" w:hint="default"/>
      </w:rPr>
    </w:lvl>
    <w:lvl w:ilvl="4" w:tplc="04070003">
      <w:start w:val="1"/>
      <w:numFmt w:val="bullet"/>
      <w:lvlText w:val="o"/>
      <w:lvlJc w:val="left"/>
      <w:pPr>
        <w:tabs>
          <w:tab w:val="num" w:pos="3600"/>
        </w:tabs>
        <w:ind w:left="3600" w:hanging="360"/>
      </w:pPr>
      <w:rPr>
        <w:rFonts w:ascii="Courier New" w:hAnsi="Courier New" w:cs="Courier New" w:hint="default"/>
      </w:rPr>
    </w:lvl>
    <w:lvl w:ilvl="5" w:tplc="04070005">
      <w:start w:val="1"/>
      <w:numFmt w:val="bullet"/>
      <w:lvlText w:val=""/>
      <w:lvlJc w:val="left"/>
      <w:pPr>
        <w:tabs>
          <w:tab w:val="num" w:pos="4320"/>
        </w:tabs>
        <w:ind w:left="4320" w:hanging="360"/>
      </w:pPr>
      <w:rPr>
        <w:rFonts w:ascii="Wingdings" w:hAnsi="Wingdings" w:hint="default"/>
      </w:rPr>
    </w:lvl>
    <w:lvl w:ilvl="6" w:tplc="04070001">
      <w:start w:val="1"/>
      <w:numFmt w:val="bullet"/>
      <w:lvlText w:val=""/>
      <w:lvlJc w:val="left"/>
      <w:pPr>
        <w:tabs>
          <w:tab w:val="num" w:pos="5040"/>
        </w:tabs>
        <w:ind w:left="5040" w:hanging="360"/>
      </w:pPr>
      <w:rPr>
        <w:rFonts w:ascii="Symbol" w:hAnsi="Symbol" w:hint="default"/>
      </w:rPr>
    </w:lvl>
    <w:lvl w:ilvl="7" w:tplc="04070003">
      <w:start w:val="1"/>
      <w:numFmt w:val="bullet"/>
      <w:lvlText w:val="o"/>
      <w:lvlJc w:val="left"/>
      <w:pPr>
        <w:tabs>
          <w:tab w:val="num" w:pos="5760"/>
        </w:tabs>
        <w:ind w:left="5760" w:hanging="360"/>
      </w:pPr>
      <w:rPr>
        <w:rFonts w:ascii="Courier New" w:hAnsi="Courier New" w:cs="Courier New" w:hint="default"/>
      </w:rPr>
    </w:lvl>
    <w:lvl w:ilvl="8" w:tplc="04070005">
      <w:start w:val="1"/>
      <w:numFmt w:val="bullet"/>
      <w:lvlText w:val=""/>
      <w:lvlJc w:val="left"/>
      <w:pPr>
        <w:tabs>
          <w:tab w:val="num" w:pos="6480"/>
        </w:tabs>
        <w:ind w:left="6480" w:hanging="360"/>
      </w:pPr>
      <w:rPr>
        <w:rFonts w:ascii="Wingdings" w:hAnsi="Wingdings" w:hint="default"/>
      </w:rPr>
    </w:lvl>
  </w:abstractNum>
  <w:abstractNum w:abstractNumId="11">
    <w:nsid w:val="1CBA509A"/>
    <w:multiLevelType w:val="hybridMultilevel"/>
    <w:tmpl w:val="D38ADB26"/>
    <w:lvl w:ilvl="0" w:tplc="CEC032AA">
      <w:start w:val="2"/>
      <w:numFmt w:val="bullet"/>
      <w:lvlText w:val="-"/>
      <w:lvlJc w:val="left"/>
      <w:pPr>
        <w:tabs>
          <w:tab w:val="num" w:pos="360"/>
        </w:tabs>
        <w:ind w:left="360" w:hanging="360"/>
      </w:pPr>
      <w:rPr>
        <w:rFonts w:ascii="Times New Roman" w:eastAsia="Times New Roman" w:hAnsi="Times New Roman" w:cs="Times New Roman" w:hint="default"/>
      </w:rPr>
    </w:lvl>
    <w:lvl w:ilvl="1" w:tplc="04070003">
      <w:start w:val="1"/>
      <w:numFmt w:val="bullet"/>
      <w:lvlText w:val="o"/>
      <w:lvlJc w:val="left"/>
      <w:pPr>
        <w:tabs>
          <w:tab w:val="num" w:pos="1440"/>
        </w:tabs>
        <w:ind w:left="1440" w:hanging="360"/>
      </w:pPr>
      <w:rPr>
        <w:rFonts w:ascii="Courier New" w:hAnsi="Courier New" w:cs="Courier New" w:hint="default"/>
      </w:rPr>
    </w:lvl>
    <w:lvl w:ilvl="2" w:tplc="04070005">
      <w:start w:val="1"/>
      <w:numFmt w:val="bullet"/>
      <w:lvlText w:val=""/>
      <w:lvlJc w:val="left"/>
      <w:pPr>
        <w:tabs>
          <w:tab w:val="num" w:pos="2160"/>
        </w:tabs>
        <w:ind w:left="2160" w:hanging="360"/>
      </w:pPr>
      <w:rPr>
        <w:rFonts w:ascii="Wingdings" w:hAnsi="Wingdings" w:hint="default"/>
      </w:rPr>
    </w:lvl>
    <w:lvl w:ilvl="3" w:tplc="04070001">
      <w:start w:val="1"/>
      <w:numFmt w:val="bullet"/>
      <w:lvlText w:val=""/>
      <w:lvlJc w:val="left"/>
      <w:pPr>
        <w:tabs>
          <w:tab w:val="num" w:pos="2880"/>
        </w:tabs>
        <w:ind w:left="2880" w:hanging="360"/>
      </w:pPr>
      <w:rPr>
        <w:rFonts w:ascii="Symbol" w:hAnsi="Symbol" w:hint="default"/>
      </w:rPr>
    </w:lvl>
    <w:lvl w:ilvl="4" w:tplc="04070003">
      <w:start w:val="1"/>
      <w:numFmt w:val="bullet"/>
      <w:lvlText w:val="o"/>
      <w:lvlJc w:val="left"/>
      <w:pPr>
        <w:tabs>
          <w:tab w:val="num" w:pos="3600"/>
        </w:tabs>
        <w:ind w:left="3600" w:hanging="360"/>
      </w:pPr>
      <w:rPr>
        <w:rFonts w:ascii="Courier New" w:hAnsi="Courier New" w:cs="Courier New" w:hint="default"/>
      </w:rPr>
    </w:lvl>
    <w:lvl w:ilvl="5" w:tplc="04070005">
      <w:start w:val="1"/>
      <w:numFmt w:val="bullet"/>
      <w:lvlText w:val=""/>
      <w:lvlJc w:val="left"/>
      <w:pPr>
        <w:tabs>
          <w:tab w:val="num" w:pos="4320"/>
        </w:tabs>
        <w:ind w:left="4320" w:hanging="360"/>
      </w:pPr>
      <w:rPr>
        <w:rFonts w:ascii="Wingdings" w:hAnsi="Wingdings" w:hint="default"/>
      </w:rPr>
    </w:lvl>
    <w:lvl w:ilvl="6" w:tplc="04070001">
      <w:start w:val="1"/>
      <w:numFmt w:val="bullet"/>
      <w:lvlText w:val=""/>
      <w:lvlJc w:val="left"/>
      <w:pPr>
        <w:tabs>
          <w:tab w:val="num" w:pos="5040"/>
        </w:tabs>
        <w:ind w:left="5040" w:hanging="360"/>
      </w:pPr>
      <w:rPr>
        <w:rFonts w:ascii="Symbol" w:hAnsi="Symbol" w:hint="default"/>
      </w:rPr>
    </w:lvl>
    <w:lvl w:ilvl="7" w:tplc="04070003">
      <w:start w:val="1"/>
      <w:numFmt w:val="bullet"/>
      <w:lvlText w:val="o"/>
      <w:lvlJc w:val="left"/>
      <w:pPr>
        <w:tabs>
          <w:tab w:val="num" w:pos="5760"/>
        </w:tabs>
        <w:ind w:left="5760" w:hanging="360"/>
      </w:pPr>
      <w:rPr>
        <w:rFonts w:ascii="Courier New" w:hAnsi="Courier New" w:cs="Courier New" w:hint="default"/>
      </w:rPr>
    </w:lvl>
    <w:lvl w:ilvl="8" w:tplc="04070005">
      <w:start w:val="1"/>
      <w:numFmt w:val="bullet"/>
      <w:lvlText w:val=""/>
      <w:lvlJc w:val="left"/>
      <w:pPr>
        <w:tabs>
          <w:tab w:val="num" w:pos="6480"/>
        </w:tabs>
        <w:ind w:left="6480" w:hanging="360"/>
      </w:pPr>
      <w:rPr>
        <w:rFonts w:ascii="Wingdings" w:hAnsi="Wingdings" w:hint="default"/>
      </w:rPr>
    </w:lvl>
  </w:abstractNum>
  <w:abstractNum w:abstractNumId="12">
    <w:nsid w:val="1E7E01D9"/>
    <w:multiLevelType w:val="hybridMultilevel"/>
    <w:tmpl w:val="0478BA32"/>
    <w:lvl w:ilvl="0" w:tplc="80B652C2">
      <w:start w:val="1"/>
      <w:numFmt w:val="decimal"/>
      <w:pStyle w:val="References"/>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14">
    <w:nsid w:val="2A1B020E"/>
    <w:multiLevelType w:val="hybridMultilevel"/>
    <w:tmpl w:val="F4922644"/>
    <w:lvl w:ilvl="0" w:tplc="FFFFFFFF">
      <w:start w:val="3"/>
      <w:numFmt w:val="bullet"/>
      <w:lvlText w:val="-"/>
      <w:lvlJc w:val="left"/>
      <w:pPr>
        <w:tabs>
          <w:tab w:val="num" w:pos="360"/>
        </w:tabs>
        <w:ind w:left="360" w:hanging="360"/>
      </w:pPr>
      <w:rPr>
        <w:rFonts w:ascii="Times New Roman" w:eastAsia="Times New Roman" w:hAnsi="Times New Roman" w:cs="Times New Roman" w:hint="default"/>
      </w:rPr>
    </w:lvl>
    <w:lvl w:ilvl="1" w:tplc="FFFFFFFF">
      <w:start w:val="1"/>
      <w:numFmt w:val="bullet"/>
      <w:lvlText w:val="o"/>
      <w:lvlJc w:val="left"/>
      <w:pPr>
        <w:tabs>
          <w:tab w:val="num" w:pos="1440"/>
        </w:tabs>
        <w:ind w:left="1440" w:hanging="360"/>
      </w:pPr>
      <w:rPr>
        <w:rFonts w:ascii="Courier New" w:hAnsi="Courier New" w:cs="Courier New" w:hint="default"/>
      </w:rPr>
    </w:lvl>
    <w:lvl w:ilvl="2" w:tplc="FFFFFFFF">
      <w:start w:val="1"/>
      <w:numFmt w:val="bullet"/>
      <w:lvlText w:val=""/>
      <w:lvlJc w:val="left"/>
      <w:pPr>
        <w:tabs>
          <w:tab w:val="num" w:pos="2160"/>
        </w:tabs>
        <w:ind w:left="2160" w:hanging="360"/>
      </w:pPr>
      <w:rPr>
        <w:rFonts w:ascii="Wingdings" w:hAnsi="Wingdings" w:hint="default"/>
      </w:rPr>
    </w:lvl>
    <w:lvl w:ilvl="3" w:tplc="FFFFFFFF">
      <w:start w:val="1"/>
      <w:numFmt w:val="bullet"/>
      <w:lvlText w:val=""/>
      <w:lvlJc w:val="left"/>
      <w:pPr>
        <w:tabs>
          <w:tab w:val="num" w:pos="2880"/>
        </w:tabs>
        <w:ind w:left="2880" w:hanging="360"/>
      </w:pPr>
      <w:rPr>
        <w:rFonts w:ascii="Symbol" w:hAnsi="Symbol" w:hint="default"/>
      </w:rPr>
    </w:lvl>
    <w:lvl w:ilvl="4" w:tplc="FFFFFFFF">
      <w:start w:val="1"/>
      <w:numFmt w:val="bullet"/>
      <w:lvlText w:val="o"/>
      <w:lvlJc w:val="left"/>
      <w:pPr>
        <w:tabs>
          <w:tab w:val="num" w:pos="3600"/>
        </w:tabs>
        <w:ind w:left="3600" w:hanging="360"/>
      </w:pPr>
      <w:rPr>
        <w:rFonts w:ascii="Courier New" w:hAnsi="Courier New" w:cs="Courier New" w:hint="default"/>
      </w:rPr>
    </w:lvl>
    <w:lvl w:ilvl="5" w:tplc="FFFFFFFF">
      <w:start w:val="1"/>
      <w:numFmt w:val="bullet"/>
      <w:lvlText w:val=""/>
      <w:lvlJc w:val="left"/>
      <w:pPr>
        <w:tabs>
          <w:tab w:val="num" w:pos="4320"/>
        </w:tabs>
        <w:ind w:left="4320" w:hanging="360"/>
      </w:pPr>
      <w:rPr>
        <w:rFonts w:ascii="Wingdings" w:hAnsi="Wingdings" w:hint="default"/>
      </w:rPr>
    </w:lvl>
    <w:lvl w:ilvl="6" w:tplc="FFFFFFFF">
      <w:start w:val="1"/>
      <w:numFmt w:val="bullet"/>
      <w:lvlText w:val=""/>
      <w:lvlJc w:val="left"/>
      <w:pPr>
        <w:tabs>
          <w:tab w:val="num" w:pos="5040"/>
        </w:tabs>
        <w:ind w:left="5040" w:hanging="360"/>
      </w:pPr>
      <w:rPr>
        <w:rFonts w:ascii="Symbol" w:hAnsi="Symbol" w:hint="default"/>
      </w:rPr>
    </w:lvl>
    <w:lvl w:ilvl="7" w:tplc="FFFFFFFF">
      <w:start w:val="1"/>
      <w:numFmt w:val="bullet"/>
      <w:lvlText w:val="o"/>
      <w:lvlJc w:val="left"/>
      <w:pPr>
        <w:tabs>
          <w:tab w:val="num" w:pos="5760"/>
        </w:tabs>
        <w:ind w:left="5760" w:hanging="360"/>
      </w:pPr>
      <w:rPr>
        <w:rFonts w:ascii="Courier New" w:hAnsi="Courier New" w:cs="Courier New" w:hint="default"/>
      </w:rPr>
    </w:lvl>
    <w:lvl w:ilvl="8" w:tplc="FFFFFFFF">
      <w:start w:val="1"/>
      <w:numFmt w:val="bullet"/>
      <w:lvlText w:val=""/>
      <w:lvlJc w:val="left"/>
      <w:pPr>
        <w:tabs>
          <w:tab w:val="num" w:pos="6480"/>
        </w:tabs>
        <w:ind w:left="6480" w:hanging="360"/>
      </w:pPr>
      <w:rPr>
        <w:rFonts w:ascii="Wingdings" w:hAnsi="Wingdings" w:hint="default"/>
      </w:rPr>
    </w:lvl>
  </w:abstractNum>
  <w:abstractNum w:abstractNumId="15">
    <w:nsid w:val="2B1B5FDB"/>
    <w:multiLevelType w:val="hybridMultilevel"/>
    <w:tmpl w:val="4AFE5D46"/>
    <w:lvl w:ilvl="0" w:tplc="F6DC0CB2">
      <w:start w:val="1"/>
      <w:numFmt w:val="bullet"/>
      <w:lvlText w:val=""/>
      <w:lvlJc w:val="left"/>
      <w:pPr>
        <w:tabs>
          <w:tab w:val="num" w:pos="720"/>
        </w:tabs>
        <w:ind w:left="720" w:hanging="360"/>
      </w:pPr>
      <w:rPr>
        <w:rFonts w:ascii="Wingdings" w:hAnsi="Wingdings" w:hint="default"/>
      </w:rPr>
    </w:lvl>
    <w:lvl w:ilvl="1" w:tplc="04070003">
      <w:start w:val="1"/>
      <w:numFmt w:val="bullet"/>
      <w:lvlText w:val="o"/>
      <w:lvlJc w:val="left"/>
      <w:pPr>
        <w:tabs>
          <w:tab w:val="num" w:pos="1092"/>
        </w:tabs>
        <w:ind w:left="1092" w:hanging="360"/>
      </w:pPr>
      <w:rPr>
        <w:rFonts w:ascii="Courier New" w:hAnsi="Courier New" w:cs="Courier New" w:hint="default"/>
      </w:rPr>
    </w:lvl>
    <w:lvl w:ilvl="2" w:tplc="04070005">
      <w:start w:val="1"/>
      <w:numFmt w:val="bullet"/>
      <w:lvlText w:val=""/>
      <w:lvlJc w:val="left"/>
      <w:pPr>
        <w:tabs>
          <w:tab w:val="num" w:pos="1812"/>
        </w:tabs>
        <w:ind w:left="1812" w:hanging="360"/>
      </w:pPr>
      <w:rPr>
        <w:rFonts w:ascii="Wingdings" w:hAnsi="Wingdings" w:hint="default"/>
      </w:rPr>
    </w:lvl>
    <w:lvl w:ilvl="3" w:tplc="04070001">
      <w:start w:val="1"/>
      <w:numFmt w:val="bullet"/>
      <w:lvlText w:val=""/>
      <w:lvlJc w:val="left"/>
      <w:pPr>
        <w:tabs>
          <w:tab w:val="num" w:pos="2532"/>
        </w:tabs>
        <w:ind w:left="2532" w:hanging="360"/>
      </w:pPr>
      <w:rPr>
        <w:rFonts w:ascii="Symbol" w:hAnsi="Symbol" w:hint="default"/>
      </w:rPr>
    </w:lvl>
    <w:lvl w:ilvl="4" w:tplc="04070003">
      <w:start w:val="1"/>
      <w:numFmt w:val="bullet"/>
      <w:lvlText w:val="o"/>
      <w:lvlJc w:val="left"/>
      <w:pPr>
        <w:tabs>
          <w:tab w:val="num" w:pos="3252"/>
        </w:tabs>
        <w:ind w:left="3252" w:hanging="360"/>
      </w:pPr>
      <w:rPr>
        <w:rFonts w:ascii="Courier New" w:hAnsi="Courier New" w:cs="Courier New" w:hint="default"/>
      </w:rPr>
    </w:lvl>
    <w:lvl w:ilvl="5" w:tplc="04070005">
      <w:start w:val="1"/>
      <w:numFmt w:val="bullet"/>
      <w:lvlText w:val=""/>
      <w:lvlJc w:val="left"/>
      <w:pPr>
        <w:tabs>
          <w:tab w:val="num" w:pos="3972"/>
        </w:tabs>
        <w:ind w:left="3972" w:hanging="360"/>
      </w:pPr>
      <w:rPr>
        <w:rFonts w:ascii="Wingdings" w:hAnsi="Wingdings" w:hint="default"/>
      </w:rPr>
    </w:lvl>
    <w:lvl w:ilvl="6" w:tplc="04070001">
      <w:start w:val="1"/>
      <w:numFmt w:val="bullet"/>
      <w:lvlText w:val=""/>
      <w:lvlJc w:val="left"/>
      <w:pPr>
        <w:tabs>
          <w:tab w:val="num" w:pos="4692"/>
        </w:tabs>
        <w:ind w:left="4692" w:hanging="360"/>
      </w:pPr>
      <w:rPr>
        <w:rFonts w:ascii="Symbol" w:hAnsi="Symbol" w:hint="default"/>
      </w:rPr>
    </w:lvl>
    <w:lvl w:ilvl="7" w:tplc="04070003">
      <w:start w:val="1"/>
      <w:numFmt w:val="bullet"/>
      <w:lvlText w:val="o"/>
      <w:lvlJc w:val="left"/>
      <w:pPr>
        <w:tabs>
          <w:tab w:val="num" w:pos="5412"/>
        </w:tabs>
        <w:ind w:left="5412" w:hanging="360"/>
      </w:pPr>
      <w:rPr>
        <w:rFonts w:ascii="Courier New" w:hAnsi="Courier New" w:cs="Courier New" w:hint="default"/>
      </w:rPr>
    </w:lvl>
    <w:lvl w:ilvl="8" w:tplc="04070005">
      <w:start w:val="1"/>
      <w:numFmt w:val="bullet"/>
      <w:lvlText w:val=""/>
      <w:lvlJc w:val="left"/>
      <w:pPr>
        <w:tabs>
          <w:tab w:val="num" w:pos="6132"/>
        </w:tabs>
        <w:ind w:left="6132" w:hanging="360"/>
      </w:pPr>
      <w:rPr>
        <w:rFonts w:ascii="Wingdings" w:hAnsi="Wingdings" w:hint="default"/>
      </w:rPr>
    </w:lvl>
  </w:abstractNum>
  <w:abstractNum w:abstractNumId="16">
    <w:nsid w:val="318B63BB"/>
    <w:multiLevelType w:val="hybridMultilevel"/>
    <w:tmpl w:val="7D0CB206"/>
    <w:lvl w:ilvl="0" w:tplc="04070005">
      <w:start w:val="2"/>
      <w:numFmt w:val="bullet"/>
      <w:lvlText w:val="-"/>
      <w:lvlJc w:val="left"/>
      <w:pPr>
        <w:tabs>
          <w:tab w:val="num" w:pos="360"/>
        </w:tabs>
        <w:ind w:left="360" w:hanging="360"/>
      </w:pPr>
      <w:rPr>
        <w:rFonts w:ascii="Times New Roman" w:eastAsia="Times New Roman" w:hAnsi="Times New Roman" w:cs="Times New Roman" w:hint="default"/>
      </w:rPr>
    </w:lvl>
    <w:lvl w:ilvl="1" w:tplc="04070003">
      <w:start w:val="1"/>
      <w:numFmt w:val="bullet"/>
      <w:lvlText w:val="o"/>
      <w:lvlJc w:val="left"/>
      <w:pPr>
        <w:tabs>
          <w:tab w:val="num" w:pos="1440"/>
        </w:tabs>
        <w:ind w:left="1440" w:hanging="360"/>
      </w:pPr>
      <w:rPr>
        <w:rFonts w:ascii="Courier New" w:hAnsi="Courier New" w:cs="Courier New" w:hint="default"/>
      </w:rPr>
    </w:lvl>
    <w:lvl w:ilvl="2" w:tplc="04070005">
      <w:start w:val="1"/>
      <w:numFmt w:val="bullet"/>
      <w:lvlText w:val=""/>
      <w:lvlJc w:val="left"/>
      <w:pPr>
        <w:tabs>
          <w:tab w:val="num" w:pos="2160"/>
        </w:tabs>
        <w:ind w:left="2160" w:hanging="360"/>
      </w:pPr>
      <w:rPr>
        <w:rFonts w:ascii="Wingdings" w:hAnsi="Wingdings" w:hint="default"/>
      </w:rPr>
    </w:lvl>
    <w:lvl w:ilvl="3" w:tplc="04070001">
      <w:start w:val="1"/>
      <w:numFmt w:val="bullet"/>
      <w:lvlText w:val=""/>
      <w:lvlJc w:val="left"/>
      <w:pPr>
        <w:tabs>
          <w:tab w:val="num" w:pos="2880"/>
        </w:tabs>
        <w:ind w:left="2880" w:hanging="360"/>
      </w:pPr>
      <w:rPr>
        <w:rFonts w:ascii="Symbol" w:hAnsi="Symbol" w:hint="default"/>
      </w:rPr>
    </w:lvl>
    <w:lvl w:ilvl="4" w:tplc="04070003">
      <w:start w:val="1"/>
      <w:numFmt w:val="bullet"/>
      <w:lvlText w:val="o"/>
      <w:lvlJc w:val="left"/>
      <w:pPr>
        <w:tabs>
          <w:tab w:val="num" w:pos="3600"/>
        </w:tabs>
        <w:ind w:left="3600" w:hanging="360"/>
      </w:pPr>
      <w:rPr>
        <w:rFonts w:ascii="Courier New" w:hAnsi="Courier New" w:cs="Courier New" w:hint="default"/>
      </w:rPr>
    </w:lvl>
    <w:lvl w:ilvl="5" w:tplc="04070005">
      <w:start w:val="1"/>
      <w:numFmt w:val="bullet"/>
      <w:lvlText w:val=""/>
      <w:lvlJc w:val="left"/>
      <w:pPr>
        <w:tabs>
          <w:tab w:val="num" w:pos="4320"/>
        </w:tabs>
        <w:ind w:left="4320" w:hanging="360"/>
      </w:pPr>
      <w:rPr>
        <w:rFonts w:ascii="Wingdings" w:hAnsi="Wingdings" w:hint="default"/>
      </w:rPr>
    </w:lvl>
    <w:lvl w:ilvl="6" w:tplc="04070001">
      <w:start w:val="1"/>
      <w:numFmt w:val="bullet"/>
      <w:lvlText w:val=""/>
      <w:lvlJc w:val="left"/>
      <w:pPr>
        <w:tabs>
          <w:tab w:val="num" w:pos="5040"/>
        </w:tabs>
        <w:ind w:left="5040" w:hanging="360"/>
      </w:pPr>
      <w:rPr>
        <w:rFonts w:ascii="Symbol" w:hAnsi="Symbol" w:hint="default"/>
      </w:rPr>
    </w:lvl>
    <w:lvl w:ilvl="7" w:tplc="04070003">
      <w:start w:val="1"/>
      <w:numFmt w:val="bullet"/>
      <w:lvlText w:val="o"/>
      <w:lvlJc w:val="left"/>
      <w:pPr>
        <w:tabs>
          <w:tab w:val="num" w:pos="5760"/>
        </w:tabs>
        <w:ind w:left="5760" w:hanging="360"/>
      </w:pPr>
      <w:rPr>
        <w:rFonts w:ascii="Courier New" w:hAnsi="Courier New" w:cs="Courier New" w:hint="default"/>
      </w:rPr>
    </w:lvl>
    <w:lvl w:ilvl="8" w:tplc="04070005">
      <w:start w:val="1"/>
      <w:numFmt w:val="bullet"/>
      <w:lvlText w:val=""/>
      <w:lvlJc w:val="left"/>
      <w:pPr>
        <w:tabs>
          <w:tab w:val="num" w:pos="6480"/>
        </w:tabs>
        <w:ind w:left="6480" w:hanging="360"/>
      </w:pPr>
      <w:rPr>
        <w:rFonts w:ascii="Wingdings" w:hAnsi="Wingdings" w:hint="default"/>
      </w:rPr>
    </w:lvl>
  </w:abstractNum>
  <w:abstractNum w:abstractNumId="17">
    <w:nsid w:val="376301AE"/>
    <w:multiLevelType w:val="multilevel"/>
    <w:tmpl w:val="F202BAF8"/>
    <w:lvl w:ilvl="0">
      <w:start w:val="1"/>
      <w:numFmt w:val="decimal"/>
      <w:pStyle w:val="AppendixHeading1"/>
      <w:lvlText w:val="%1"/>
      <w:lvlJc w:val="left"/>
      <w:pPr>
        <w:tabs>
          <w:tab w:val="num" w:pos="567"/>
        </w:tabs>
        <w:ind w:left="567" w:hanging="567"/>
      </w:pPr>
      <w:rPr>
        <w:rFonts w:ascii="Arial" w:hAnsi="Arial" w:hint="default"/>
        <w:b/>
        <w:i w:val="0"/>
        <w:sz w:val="24"/>
      </w:rPr>
    </w:lvl>
    <w:lvl w:ilvl="1">
      <w:start w:val="1"/>
      <w:numFmt w:val="decimal"/>
      <w:pStyle w:val="AppendixHeading2"/>
      <w:lvlText w:val="%1.%2"/>
      <w:lvlJc w:val="left"/>
      <w:pPr>
        <w:tabs>
          <w:tab w:val="num" w:pos="851"/>
        </w:tabs>
        <w:ind w:left="851" w:hanging="851"/>
      </w:pPr>
      <w:rPr>
        <w:rFonts w:ascii="Arial" w:hAnsi="Arial" w:hint="default"/>
        <w:b/>
        <w:i w:val="0"/>
        <w:sz w:val="22"/>
      </w:rPr>
    </w:lvl>
    <w:lvl w:ilvl="2">
      <w:start w:val="1"/>
      <w:numFmt w:val="decimal"/>
      <w:pStyle w:val="AppendixHeading3"/>
      <w:lvlText w:val="%1.%2.%3"/>
      <w:lvlJc w:val="left"/>
      <w:pPr>
        <w:tabs>
          <w:tab w:val="num" w:pos="992"/>
        </w:tabs>
        <w:ind w:left="992" w:hanging="992"/>
      </w:pPr>
      <w:rPr>
        <w:rFonts w:ascii="Arial" w:hAnsi="Arial" w:hint="default"/>
        <w:b w:val="0"/>
        <w:i w:val="0"/>
        <w:sz w:val="22"/>
      </w:rPr>
    </w:lvl>
    <w:lvl w:ilvl="3">
      <w:start w:val="1"/>
      <w:numFmt w:val="decimal"/>
      <w:pStyle w:val="AppendixHeading4"/>
      <w:lvlText w:val="%1.%2.%3.%4"/>
      <w:lvlJc w:val="left"/>
      <w:pPr>
        <w:tabs>
          <w:tab w:val="num" w:pos="1134"/>
        </w:tabs>
        <w:ind w:left="1134" w:hanging="1134"/>
      </w:pPr>
      <w:rPr>
        <w:rFonts w:ascii="Arial" w:hAnsi="Arial" w:hint="default"/>
        <w:b w:val="0"/>
        <w:i w:val="0"/>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8">
    <w:nsid w:val="3D482F84"/>
    <w:multiLevelType w:val="hybridMultilevel"/>
    <w:tmpl w:val="7090A816"/>
    <w:lvl w:ilvl="0" w:tplc="CEC032AA">
      <w:start w:val="3"/>
      <w:numFmt w:val="bullet"/>
      <w:lvlText w:val="-"/>
      <w:lvlJc w:val="left"/>
      <w:pPr>
        <w:tabs>
          <w:tab w:val="num" w:pos="720"/>
        </w:tabs>
        <w:ind w:left="720" w:hanging="360"/>
      </w:pPr>
      <w:rPr>
        <w:rFonts w:ascii="Times New Roman" w:eastAsia="Times New Roman" w:hAnsi="Times New Roman" w:cs="Times New Roman" w:hint="default"/>
        <w:lang w:val="en-GB"/>
      </w:rPr>
    </w:lvl>
    <w:lvl w:ilvl="1" w:tplc="04070003">
      <w:start w:val="1"/>
      <w:numFmt w:val="bullet"/>
      <w:lvlText w:val="o"/>
      <w:lvlJc w:val="left"/>
      <w:pPr>
        <w:tabs>
          <w:tab w:val="num" w:pos="1800"/>
        </w:tabs>
        <w:ind w:left="1800" w:hanging="360"/>
      </w:pPr>
      <w:rPr>
        <w:rFonts w:ascii="Courier New" w:hAnsi="Courier New" w:cs="Courier New" w:hint="default"/>
      </w:rPr>
    </w:lvl>
    <w:lvl w:ilvl="2" w:tplc="04070005">
      <w:start w:val="1"/>
      <w:numFmt w:val="bullet"/>
      <w:lvlText w:val=""/>
      <w:lvlJc w:val="left"/>
      <w:pPr>
        <w:tabs>
          <w:tab w:val="num" w:pos="2520"/>
        </w:tabs>
        <w:ind w:left="2520" w:hanging="360"/>
      </w:pPr>
      <w:rPr>
        <w:rFonts w:ascii="Wingdings" w:hAnsi="Wingdings" w:hint="default"/>
      </w:rPr>
    </w:lvl>
    <w:lvl w:ilvl="3" w:tplc="04070001">
      <w:start w:val="1"/>
      <w:numFmt w:val="bullet"/>
      <w:lvlText w:val=""/>
      <w:lvlJc w:val="left"/>
      <w:pPr>
        <w:tabs>
          <w:tab w:val="num" w:pos="3240"/>
        </w:tabs>
        <w:ind w:left="3240" w:hanging="360"/>
      </w:pPr>
      <w:rPr>
        <w:rFonts w:ascii="Symbol" w:hAnsi="Symbol" w:hint="default"/>
      </w:rPr>
    </w:lvl>
    <w:lvl w:ilvl="4" w:tplc="04070003">
      <w:start w:val="1"/>
      <w:numFmt w:val="bullet"/>
      <w:lvlText w:val="o"/>
      <w:lvlJc w:val="left"/>
      <w:pPr>
        <w:tabs>
          <w:tab w:val="num" w:pos="3960"/>
        </w:tabs>
        <w:ind w:left="3960" w:hanging="360"/>
      </w:pPr>
      <w:rPr>
        <w:rFonts w:ascii="Courier New" w:hAnsi="Courier New" w:cs="Courier New" w:hint="default"/>
      </w:rPr>
    </w:lvl>
    <w:lvl w:ilvl="5" w:tplc="04070005">
      <w:start w:val="1"/>
      <w:numFmt w:val="bullet"/>
      <w:lvlText w:val=""/>
      <w:lvlJc w:val="left"/>
      <w:pPr>
        <w:tabs>
          <w:tab w:val="num" w:pos="4680"/>
        </w:tabs>
        <w:ind w:left="4680" w:hanging="360"/>
      </w:pPr>
      <w:rPr>
        <w:rFonts w:ascii="Wingdings" w:hAnsi="Wingdings" w:hint="default"/>
      </w:rPr>
    </w:lvl>
    <w:lvl w:ilvl="6" w:tplc="04070001">
      <w:start w:val="1"/>
      <w:numFmt w:val="bullet"/>
      <w:lvlText w:val=""/>
      <w:lvlJc w:val="left"/>
      <w:pPr>
        <w:tabs>
          <w:tab w:val="num" w:pos="5400"/>
        </w:tabs>
        <w:ind w:left="5400" w:hanging="360"/>
      </w:pPr>
      <w:rPr>
        <w:rFonts w:ascii="Symbol" w:hAnsi="Symbol" w:hint="default"/>
      </w:rPr>
    </w:lvl>
    <w:lvl w:ilvl="7" w:tplc="04070003">
      <w:start w:val="1"/>
      <w:numFmt w:val="bullet"/>
      <w:lvlText w:val="o"/>
      <w:lvlJc w:val="left"/>
      <w:pPr>
        <w:tabs>
          <w:tab w:val="num" w:pos="6120"/>
        </w:tabs>
        <w:ind w:left="6120" w:hanging="360"/>
      </w:pPr>
      <w:rPr>
        <w:rFonts w:ascii="Courier New" w:hAnsi="Courier New" w:cs="Courier New" w:hint="default"/>
      </w:rPr>
    </w:lvl>
    <w:lvl w:ilvl="8" w:tplc="04070005">
      <w:start w:val="1"/>
      <w:numFmt w:val="bullet"/>
      <w:lvlText w:val=""/>
      <w:lvlJc w:val="left"/>
      <w:pPr>
        <w:tabs>
          <w:tab w:val="num" w:pos="6840"/>
        </w:tabs>
        <w:ind w:left="6840" w:hanging="360"/>
      </w:pPr>
      <w:rPr>
        <w:rFonts w:ascii="Wingdings" w:hAnsi="Wingdings" w:hint="default"/>
      </w:rPr>
    </w:lvl>
  </w:abstractNum>
  <w:abstractNum w:abstractNumId="19">
    <w:nsid w:val="3E6B4F5D"/>
    <w:multiLevelType w:val="hybridMultilevel"/>
    <w:tmpl w:val="E932E71C"/>
    <w:lvl w:ilvl="0" w:tplc="E1C4E124">
      <w:start w:val="1"/>
      <w:numFmt w:val="decimal"/>
      <w:pStyle w:val="equation"/>
      <w:lvlText w:val="(equation %1)"/>
      <w:lvlJc w:val="right"/>
      <w:pPr>
        <w:ind w:left="7874" w:hanging="360"/>
      </w:pPr>
      <w:rPr>
        <w:rFonts w:cs="Times New Roman"/>
        <w:b w:val="0"/>
        <w:bCs w:val="0"/>
        <w:i w:val="0"/>
        <w:iCs w:val="0"/>
        <w:caps w:val="0"/>
        <w:smallCaps w:val="0"/>
        <w:strike w:val="0"/>
        <w:dstrike w:val="0"/>
        <w:noProof w:val="0"/>
        <w:vanish w:val="0"/>
        <w:spacing w:val="0"/>
        <w:kern w:val="0"/>
        <w:position w:val="0"/>
        <w:u w:val="none"/>
        <w:vertAlign w:val="baseline"/>
        <w:em w:val="none"/>
      </w:rPr>
    </w:lvl>
    <w:lvl w:ilvl="1" w:tplc="08090019" w:tentative="1">
      <w:start w:val="1"/>
      <w:numFmt w:val="lowerLetter"/>
      <w:lvlText w:val="%2."/>
      <w:lvlJc w:val="left"/>
      <w:pPr>
        <w:ind w:left="8594" w:hanging="360"/>
      </w:pPr>
    </w:lvl>
    <w:lvl w:ilvl="2" w:tplc="0809001B" w:tentative="1">
      <w:start w:val="1"/>
      <w:numFmt w:val="lowerRoman"/>
      <w:lvlText w:val="%3."/>
      <w:lvlJc w:val="right"/>
      <w:pPr>
        <w:ind w:left="9314" w:hanging="180"/>
      </w:pPr>
    </w:lvl>
    <w:lvl w:ilvl="3" w:tplc="0809000F" w:tentative="1">
      <w:start w:val="1"/>
      <w:numFmt w:val="decimal"/>
      <w:lvlText w:val="%4."/>
      <w:lvlJc w:val="left"/>
      <w:pPr>
        <w:ind w:left="10034" w:hanging="360"/>
      </w:pPr>
    </w:lvl>
    <w:lvl w:ilvl="4" w:tplc="08090019" w:tentative="1">
      <w:start w:val="1"/>
      <w:numFmt w:val="lowerLetter"/>
      <w:lvlText w:val="%5."/>
      <w:lvlJc w:val="left"/>
      <w:pPr>
        <w:ind w:left="10754" w:hanging="360"/>
      </w:pPr>
    </w:lvl>
    <w:lvl w:ilvl="5" w:tplc="0809001B" w:tentative="1">
      <w:start w:val="1"/>
      <w:numFmt w:val="lowerRoman"/>
      <w:lvlText w:val="%6."/>
      <w:lvlJc w:val="right"/>
      <w:pPr>
        <w:ind w:left="11474" w:hanging="180"/>
      </w:pPr>
    </w:lvl>
    <w:lvl w:ilvl="6" w:tplc="0809000F" w:tentative="1">
      <w:start w:val="1"/>
      <w:numFmt w:val="decimal"/>
      <w:lvlText w:val="%7."/>
      <w:lvlJc w:val="left"/>
      <w:pPr>
        <w:ind w:left="12194" w:hanging="360"/>
      </w:pPr>
    </w:lvl>
    <w:lvl w:ilvl="7" w:tplc="08090019" w:tentative="1">
      <w:start w:val="1"/>
      <w:numFmt w:val="lowerLetter"/>
      <w:lvlText w:val="%8."/>
      <w:lvlJc w:val="left"/>
      <w:pPr>
        <w:ind w:left="12914" w:hanging="360"/>
      </w:pPr>
    </w:lvl>
    <w:lvl w:ilvl="8" w:tplc="0809001B" w:tentative="1">
      <w:start w:val="1"/>
      <w:numFmt w:val="lowerRoman"/>
      <w:lvlText w:val="%9."/>
      <w:lvlJc w:val="right"/>
      <w:pPr>
        <w:ind w:left="13634" w:hanging="180"/>
      </w:pPr>
    </w:lvl>
  </w:abstractNum>
  <w:abstractNum w:abstractNumId="20">
    <w:nsid w:val="449B3935"/>
    <w:multiLevelType w:val="hybridMultilevel"/>
    <w:tmpl w:val="E55ECDC4"/>
    <w:lvl w:ilvl="0" w:tplc="04070005">
      <w:start w:val="1"/>
      <w:numFmt w:val="bullet"/>
      <w:lvlText w:val=""/>
      <w:lvlJc w:val="left"/>
      <w:pPr>
        <w:tabs>
          <w:tab w:val="num" w:pos="720"/>
        </w:tabs>
        <w:ind w:left="720" w:hanging="360"/>
      </w:pPr>
      <w:rPr>
        <w:rFonts w:ascii="Wingdings" w:hAnsi="Wingdings" w:hint="default"/>
      </w:rPr>
    </w:lvl>
    <w:lvl w:ilvl="1" w:tplc="04070003">
      <w:start w:val="1"/>
      <w:numFmt w:val="bullet"/>
      <w:lvlText w:val="o"/>
      <w:lvlJc w:val="left"/>
      <w:pPr>
        <w:tabs>
          <w:tab w:val="num" w:pos="1800"/>
        </w:tabs>
        <w:ind w:left="1800" w:hanging="360"/>
      </w:pPr>
      <w:rPr>
        <w:rFonts w:ascii="Courier New" w:hAnsi="Courier New" w:cs="Courier New" w:hint="default"/>
      </w:rPr>
    </w:lvl>
    <w:lvl w:ilvl="2" w:tplc="04070005">
      <w:start w:val="1"/>
      <w:numFmt w:val="bullet"/>
      <w:lvlText w:val=""/>
      <w:lvlJc w:val="left"/>
      <w:pPr>
        <w:tabs>
          <w:tab w:val="num" w:pos="2520"/>
        </w:tabs>
        <w:ind w:left="2520" w:hanging="360"/>
      </w:pPr>
      <w:rPr>
        <w:rFonts w:ascii="Wingdings" w:hAnsi="Wingdings" w:hint="default"/>
      </w:rPr>
    </w:lvl>
    <w:lvl w:ilvl="3" w:tplc="04070001">
      <w:start w:val="1"/>
      <w:numFmt w:val="bullet"/>
      <w:lvlText w:val=""/>
      <w:lvlJc w:val="left"/>
      <w:pPr>
        <w:tabs>
          <w:tab w:val="num" w:pos="3240"/>
        </w:tabs>
        <w:ind w:left="3240" w:hanging="360"/>
      </w:pPr>
      <w:rPr>
        <w:rFonts w:ascii="Symbol" w:hAnsi="Symbol" w:hint="default"/>
      </w:rPr>
    </w:lvl>
    <w:lvl w:ilvl="4" w:tplc="04070003">
      <w:start w:val="1"/>
      <w:numFmt w:val="bullet"/>
      <w:lvlText w:val="o"/>
      <w:lvlJc w:val="left"/>
      <w:pPr>
        <w:tabs>
          <w:tab w:val="num" w:pos="3960"/>
        </w:tabs>
        <w:ind w:left="3960" w:hanging="360"/>
      </w:pPr>
      <w:rPr>
        <w:rFonts w:ascii="Courier New" w:hAnsi="Courier New" w:cs="Courier New" w:hint="default"/>
      </w:rPr>
    </w:lvl>
    <w:lvl w:ilvl="5" w:tplc="04070005">
      <w:start w:val="1"/>
      <w:numFmt w:val="bullet"/>
      <w:lvlText w:val=""/>
      <w:lvlJc w:val="left"/>
      <w:pPr>
        <w:tabs>
          <w:tab w:val="num" w:pos="4680"/>
        </w:tabs>
        <w:ind w:left="4680" w:hanging="360"/>
      </w:pPr>
      <w:rPr>
        <w:rFonts w:ascii="Wingdings" w:hAnsi="Wingdings" w:hint="default"/>
      </w:rPr>
    </w:lvl>
    <w:lvl w:ilvl="6" w:tplc="04070001">
      <w:start w:val="1"/>
      <w:numFmt w:val="bullet"/>
      <w:lvlText w:val=""/>
      <w:lvlJc w:val="left"/>
      <w:pPr>
        <w:tabs>
          <w:tab w:val="num" w:pos="5400"/>
        </w:tabs>
        <w:ind w:left="5400" w:hanging="360"/>
      </w:pPr>
      <w:rPr>
        <w:rFonts w:ascii="Symbol" w:hAnsi="Symbol" w:hint="default"/>
      </w:rPr>
    </w:lvl>
    <w:lvl w:ilvl="7" w:tplc="04070003">
      <w:start w:val="1"/>
      <w:numFmt w:val="bullet"/>
      <w:lvlText w:val="o"/>
      <w:lvlJc w:val="left"/>
      <w:pPr>
        <w:tabs>
          <w:tab w:val="num" w:pos="6120"/>
        </w:tabs>
        <w:ind w:left="6120" w:hanging="360"/>
      </w:pPr>
      <w:rPr>
        <w:rFonts w:ascii="Courier New" w:hAnsi="Courier New" w:cs="Courier New" w:hint="default"/>
      </w:rPr>
    </w:lvl>
    <w:lvl w:ilvl="8" w:tplc="04070005">
      <w:start w:val="1"/>
      <w:numFmt w:val="bullet"/>
      <w:lvlText w:val=""/>
      <w:lvlJc w:val="left"/>
      <w:pPr>
        <w:tabs>
          <w:tab w:val="num" w:pos="6840"/>
        </w:tabs>
        <w:ind w:left="6840" w:hanging="360"/>
      </w:pPr>
      <w:rPr>
        <w:rFonts w:ascii="Wingdings" w:hAnsi="Wingdings" w:hint="default"/>
      </w:rPr>
    </w:lvl>
  </w:abstractNum>
  <w:abstractNum w:abstractNumId="21">
    <w:nsid w:val="4BC63137"/>
    <w:multiLevelType w:val="hybridMultilevel"/>
    <w:tmpl w:val="FB6291FE"/>
    <w:lvl w:ilvl="0" w:tplc="268C32C0">
      <w:start w:val="1"/>
      <w:numFmt w:val="bullet"/>
      <w:pStyle w:val="Bullet1"/>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2">
    <w:nsid w:val="4C854D88"/>
    <w:multiLevelType w:val="hybridMultilevel"/>
    <w:tmpl w:val="046C0DE4"/>
    <w:lvl w:ilvl="0" w:tplc="04070005">
      <w:start w:val="1"/>
      <w:numFmt w:val="bullet"/>
      <w:lvlText w:val=""/>
      <w:lvlJc w:val="left"/>
      <w:pPr>
        <w:tabs>
          <w:tab w:val="num" w:pos="720"/>
        </w:tabs>
        <w:ind w:left="720" w:hanging="360"/>
      </w:pPr>
      <w:rPr>
        <w:rFonts w:ascii="Wingdings" w:hAnsi="Wingdings" w:hint="default"/>
      </w:rPr>
    </w:lvl>
    <w:lvl w:ilvl="1" w:tplc="77AA2FD0">
      <w:start w:val="1"/>
      <w:numFmt w:val="bullet"/>
      <w:lvlText w:val="o"/>
      <w:lvlJc w:val="left"/>
      <w:pPr>
        <w:tabs>
          <w:tab w:val="num" w:pos="1440"/>
        </w:tabs>
        <w:ind w:left="1440" w:hanging="360"/>
      </w:pPr>
      <w:rPr>
        <w:rFonts w:ascii="Courier New" w:hAnsi="Courier New" w:cs="Courier New" w:hint="default"/>
      </w:rPr>
    </w:lvl>
    <w:lvl w:ilvl="2" w:tplc="9CDAF2DE">
      <w:start w:val="1"/>
      <w:numFmt w:val="bullet"/>
      <w:lvlText w:val=""/>
      <w:lvlJc w:val="left"/>
      <w:pPr>
        <w:tabs>
          <w:tab w:val="num" w:pos="2160"/>
        </w:tabs>
        <w:ind w:left="2160" w:hanging="360"/>
      </w:pPr>
      <w:rPr>
        <w:rFonts w:ascii="Wingdings" w:hAnsi="Wingdings" w:hint="default"/>
      </w:rPr>
    </w:lvl>
    <w:lvl w:ilvl="3" w:tplc="E5DCAF0E">
      <w:start w:val="1"/>
      <w:numFmt w:val="bullet"/>
      <w:lvlText w:val=""/>
      <w:lvlJc w:val="left"/>
      <w:pPr>
        <w:tabs>
          <w:tab w:val="num" w:pos="2880"/>
        </w:tabs>
        <w:ind w:left="2880" w:hanging="360"/>
      </w:pPr>
      <w:rPr>
        <w:rFonts w:ascii="Symbol" w:hAnsi="Symbol" w:hint="default"/>
      </w:rPr>
    </w:lvl>
    <w:lvl w:ilvl="4" w:tplc="5FF4A4DE">
      <w:start w:val="1"/>
      <w:numFmt w:val="bullet"/>
      <w:lvlText w:val="o"/>
      <w:lvlJc w:val="left"/>
      <w:pPr>
        <w:tabs>
          <w:tab w:val="num" w:pos="3600"/>
        </w:tabs>
        <w:ind w:left="3600" w:hanging="360"/>
      </w:pPr>
      <w:rPr>
        <w:rFonts w:ascii="Courier New" w:hAnsi="Courier New" w:cs="Courier New" w:hint="default"/>
      </w:rPr>
    </w:lvl>
    <w:lvl w:ilvl="5" w:tplc="811444BC">
      <w:start w:val="1"/>
      <w:numFmt w:val="bullet"/>
      <w:lvlText w:val=""/>
      <w:lvlJc w:val="left"/>
      <w:pPr>
        <w:tabs>
          <w:tab w:val="num" w:pos="4320"/>
        </w:tabs>
        <w:ind w:left="4320" w:hanging="360"/>
      </w:pPr>
      <w:rPr>
        <w:rFonts w:ascii="Wingdings" w:hAnsi="Wingdings" w:hint="default"/>
      </w:rPr>
    </w:lvl>
    <w:lvl w:ilvl="6" w:tplc="6436DAEA">
      <w:start w:val="1"/>
      <w:numFmt w:val="bullet"/>
      <w:lvlText w:val=""/>
      <w:lvlJc w:val="left"/>
      <w:pPr>
        <w:tabs>
          <w:tab w:val="num" w:pos="5040"/>
        </w:tabs>
        <w:ind w:left="5040" w:hanging="360"/>
      </w:pPr>
      <w:rPr>
        <w:rFonts w:ascii="Symbol" w:hAnsi="Symbol" w:hint="default"/>
      </w:rPr>
    </w:lvl>
    <w:lvl w:ilvl="7" w:tplc="BF2209BE">
      <w:start w:val="1"/>
      <w:numFmt w:val="bullet"/>
      <w:lvlText w:val="o"/>
      <w:lvlJc w:val="left"/>
      <w:pPr>
        <w:tabs>
          <w:tab w:val="num" w:pos="5760"/>
        </w:tabs>
        <w:ind w:left="5760" w:hanging="360"/>
      </w:pPr>
      <w:rPr>
        <w:rFonts w:ascii="Courier New" w:hAnsi="Courier New" w:cs="Courier New" w:hint="default"/>
      </w:rPr>
    </w:lvl>
    <w:lvl w:ilvl="8" w:tplc="300A4F50">
      <w:start w:val="1"/>
      <w:numFmt w:val="bullet"/>
      <w:lvlText w:val=""/>
      <w:lvlJc w:val="left"/>
      <w:pPr>
        <w:tabs>
          <w:tab w:val="num" w:pos="6480"/>
        </w:tabs>
        <w:ind w:left="6480" w:hanging="360"/>
      </w:pPr>
      <w:rPr>
        <w:rFonts w:ascii="Wingdings" w:hAnsi="Wingdings" w:hint="default"/>
      </w:rPr>
    </w:lvl>
  </w:abstractNum>
  <w:abstractNum w:abstractNumId="23">
    <w:nsid w:val="51B55D23"/>
    <w:multiLevelType w:val="multilevel"/>
    <w:tmpl w:val="A36E1D10"/>
    <w:lvl w:ilvl="0">
      <w:start w:val="1"/>
      <w:numFmt w:val="decimal"/>
      <w:pStyle w:val="Table"/>
      <w:lvlText w:val="Table %1"/>
      <w:lvlJc w:val="left"/>
      <w:pPr>
        <w:tabs>
          <w:tab w:val="num" w:pos="1134"/>
        </w:tabs>
        <w:ind w:left="1134" w:hanging="1134"/>
      </w:pPr>
      <w:rPr>
        <w:rFonts w:hint="default"/>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24">
    <w:nsid w:val="53274D23"/>
    <w:multiLevelType w:val="hybridMultilevel"/>
    <w:tmpl w:val="DFFA3244"/>
    <w:lvl w:ilvl="0" w:tplc="99C22618">
      <w:start w:val="2"/>
      <w:numFmt w:val="bullet"/>
      <w:lvlText w:val="-"/>
      <w:lvlJc w:val="left"/>
      <w:pPr>
        <w:tabs>
          <w:tab w:val="num" w:pos="360"/>
        </w:tabs>
        <w:ind w:left="360" w:hanging="360"/>
      </w:pPr>
      <w:rPr>
        <w:rFonts w:ascii="Times New Roman" w:eastAsia="Times New Roman" w:hAnsi="Times New Roman" w:cs="Times New Roman" w:hint="default"/>
      </w:rPr>
    </w:lvl>
    <w:lvl w:ilvl="1" w:tplc="04070003">
      <w:start w:val="1"/>
      <w:numFmt w:val="bullet"/>
      <w:lvlText w:val="o"/>
      <w:lvlJc w:val="left"/>
      <w:pPr>
        <w:tabs>
          <w:tab w:val="num" w:pos="1440"/>
        </w:tabs>
        <w:ind w:left="1440" w:hanging="360"/>
      </w:pPr>
      <w:rPr>
        <w:rFonts w:ascii="Courier New" w:hAnsi="Courier New" w:cs="Courier New" w:hint="default"/>
      </w:rPr>
    </w:lvl>
    <w:lvl w:ilvl="2" w:tplc="04070005">
      <w:start w:val="1"/>
      <w:numFmt w:val="bullet"/>
      <w:lvlText w:val=""/>
      <w:lvlJc w:val="left"/>
      <w:pPr>
        <w:tabs>
          <w:tab w:val="num" w:pos="2160"/>
        </w:tabs>
        <w:ind w:left="2160" w:hanging="360"/>
      </w:pPr>
      <w:rPr>
        <w:rFonts w:ascii="Wingdings" w:hAnsi="Wingdings" w:hint="default"/>
      </w:rPr>
    </w:lvl>
    <w:lvl w:ilvl="3" w:tplc="04070001">
      <w:start w:val="1"/>
      <w:numFmt w:val="bullet"/>
      <w:lvlText w:val=""/>
      <w:lvlJc w:val="left"/>
      <w:pPr>
        <w:tabs>
          <w:tab w:val="num" w:pos="2880"/>
        </w:tabs>
        <w:ind w:left="2880" w:hanging="360"/>
      </w:pPr>
      <w:rPr>
        <w:rFonts w:ascii="Symbol" w:hAnsi="Symbol" w:hint="default"/>
      </w:rPr>
    </w:lvl>
    <w:lvl w:ilvl="4" w:tplc="04070003">
      <w:start w:val="1"/>
      <w:numFmt w:val="bullet"/>
      <w:lvlText w:val="o"/>
      <w:lvlJc w:val="left"/>
      <w:pPr>
        <w:tabs>
          <w:tab w:val="num" w:pos="3600"/>
        </w:tabs>
        <w:ind w:left="3600" w:hanging="360"/>
      </w:pPr>
      <w:rPr>
        <w:rFonts w:ascii="Courier New" w:hAnsi="Courier New" w:cs="Courier New" w:hint="default"/>
      </w:rPr>
    </w:lvl>
    <w:lvl w:ilvl="5" w:tplc="04070005">
      <w:start w:val="1"/>
      <w:numFmt w:val="bullet"/>
      <w:lvlText w:val=""/>
      <w:lvlJc w:val="left"/>
      <w:pPr>
        <w:tabs>
          <w:tab w:val="num" w:pos="4320"/>
        </w:tabs>
        <w:ind w:left="4320" w:hanging="360"/>
      </w:pPr>
      <w:rPr>
        <w:rFonts w:ascii="Wingdings" w:hAnsi="Wingdings" w:hint="default"/>
      </w:rPr>
    </w:lvl>
    <w:lvl w:ilvl="6" w:tplc="04070001">
      <w:start w:val="1"/>
      <w:numFmt w:val="bullet"/>
      <w:lvlText w:val=""/>
      <w:lvlJc w:val="left"/>
      <w:pPr>
        <w:tabs>
          <w:tab w:val="num" w:pos="5040"/>
        </w:tabs>
        <w:ind w:left="5040" w:hanging="360"/>
      </w:pPr>
      <w:rPr>
        <w:rFonts w:ascii="Symbol" w:hAnsi="Symbol" w:hint="default"/>
      </w:rPr>
    </w:lvl>
    <w:lvl w:ilvl="7" w:tplc="04070003">
      <w:start w:val="1"/>
      <w:numFmt w:val="bullet"/>
      <w:lvlText w:val="o"/>
      <w:lvlJc w:val="left"/>
      <w:pPr>
        <w:tabs>
          <w:tab w:val="num" w:pos="5760"/>
        </w:tabs>
        <w:ind w:left="5760" w:hanging="360"/>
      </w:pPr>
      <w:rPr>
        <w:rFonts w:ascii="Courier New" w:hAnsi="Courier New" w:cs="Courier New" w:hint="default"/>
      </w:rPr>
    </w:lvl>
    <w:lvl w:ilvl="8" w:tplc="04070005">
      <w:start w:val="1"/>
      <w:numFmt w:val="bullet"/>
      <w:lvlText w:val=""/>
      <w:lvlJc w:val="left"/>
      <w:pPr>
        <w:tabs>
          <w:tab w:val="num" w:pos="6480"/>
        </w:tabs>
        <w:ind w:left="6480" w:hanging="360"/>
      </w:pPr>
      <w:rPr>
        <w:rFonts w:ascii="Wingdings" w:hAnsi="Wingdings" w:hint="default"/>
      </w:rPr>
    </w:lvl>
  </w:abstractNum>
  <w:abstractNum w:abstractNumId="25">
    <w:nsid w:val="53604495"/>
    <w:multiLevelType w:val="hybridMultilevel"/>
    <w:tmpl w:val="7B061516"/>
    <w:lvl w:ilvl="0" w:tplc="CEC032AA">
      <w:start w:val="2"/>
      <w:numFmt w:val="bullet"/>
      <w:lvlText w:val="-"/>
      <w:lvlJc w:val="left"/>
      <w:pPr>
        <w:tabs>
          <w:tab w:val="num" w:pos="360"/>
        </w:tabs>
        <w:ind w:left="360" w:hanging="360"/>
      </w:pPr>
      <w:rPr>
        <w:rFonts w:ascii="Times New Roman" w:eastAsia="Times New Roman" w:hAnsi="Times New Roman" w:cs="Times New Roman" w:hint="default"/>
      </w:rPr>
    </w:lvl>
    <w:lvl w:ilvl="1" w:tplc="04070003">
      <w:start w:val="1"/>
      <w:numFmt w:val="bullet"/>
      <w:lvlText w:val="o"/>
      <w:lvlJc w:val="left"/>
      <w:pPr>
        <w:tabs>
          <w:tab w:val="num" w:pos="1440"/>
        </w:tabs>
        <w:ind w:left="1440" w:hanging="360"/>
      </w:pPr>
      <w:rPr>
        <w:rFonts w:ascii="Courier New" w:hAnsi="Courier New" w:cs="Courier New" w:hint="default"/>
      </w:rPr>
    </w:lvl>
    <w:lvl w:ilvl="2" w:tplc="04070005">
      <w:start w:val="1"/>
      <w:numFmt w:val="bullet"/>
      <w:lvlText w:val=""/>
      <w:lvlJc w:val="left"/>
      <w:pPr>
        <w:tabs>
          <w:tab w:val="num" w:pos="2160"/>
        </w:tabs>
        <w:ind w:left="2160" w:hanging="360"/>
      </w:pPr>
      <w:rPr>
        <w:rFonts w:ascii="Wingdings" w:hAnsi="Wingdings" w:hint="default"/>
      </w:rPr>
    </w:lvl>
    <w:lvl w:ilvl="3" w:tplc="04070001">
      <w:start w:val="1"/>
      <w:numFmt w:val="bullet"/>
      <w:lvlText w:val=""/>
      <w:lvlJc w:val="left"/>
      <w:pPr>
        <w:tabs>
          <w:tab w:val="num" w:pos="2880"/>
        </w:tabs>
        <w:ind w:left="2880" w:hanging="360"/>
      </w:pPr>
      <w:rPr>
        <w:rFonts w:ascii="Symbol" w:hAnsi="Symbol" w:hint="default"/>
      </w:rPr>
    </w:lvl>
    <w:lvl w:ilvl="4" w:tplc="04070003">
      <w:start w:val="1"/>
      <w:numFmt w:val="bullet"/>
      <w:lvlText w:val="o"/>
      <w:lvlJc w:val="left"/>
      <w:pPr>
        <w:tabs>
          <w:tab w:val="num" w:pos="3600"/>
        </w:tabs>
        <w:ind w:left="3600" w:hanging="360"/>
      </w:pPr>
      <w:rPr>
        <w:rFonts w:ascii="Courier New" w:hAnsi="Courier New" w:cs="Courier New" w:hint="default"/>
      </w:rPr>
    </w:lvl>
    <w:lvl w:ilvl="5" w:tplc="04070005">
      <w:start w:val="1"/>
      <w:numFmt w:val="bullet"/>
      <w:lvlText w:val=""/>
      <w:lvlJc w:val="left"/>
      <w:pPr>
        <w:tabs>
          <w:tab w:val="num" w:pos="4320"/>
        </w:tabs>
        <w:ind w:left="4320" w:hanging="360"/>
      </w:pPr>
      <w:rPr>
        <w:rFonts w:ascii="Wingdings" w:hAnsi="Wingdings" w:hint="default"/>
      </w:rPr>
    </w:lvl>
    <w:lvl w:ilvl="6" w:tplc="04070001">
      <w:start w:val="1"/>
      <w:numFmt w:val="bullet"/>
      <w:lvlText w:val=""/>
      <w:lvlJc w:val="left"/>
      <w:pPr>
        <w:tabs>
          <w:tab w:val="num" w:pos="5040"/>
        </w:tabs>
        <w:ind w:left="5040" w:hanging="360"/>
      </w:pPr>
      <w:rPr>
        <w:rFonts w:ascii="Symbol" w:hAnsi="Symbol" w:hint="default"/>
      </w:rPr>
    </w:lvl>
    <w:lvl w:ilvl="7" w:tplc="04070003">
      <w:start w:val="1"/>
      <w:numFmt w:val="bullet"/>
      <w:lvlText w:val="o"/>
      <w:lvlJc w:val="left"/>
      <w:pPr>
        <w:tabs>
          <w:tab w:val="num" w:pos="5760"/>
        </w:tabs>
        <w:ind w:left="5760" w:hanging="360"/>
      </w:pPr>
      <w:rPr>
        <w:rFonts w:ascii="Courier New" w:hAnsi="Courier New" w:cs="Courier New" w:hint="default"/>
      </w:rPr>
    </w:lvl>
    <w:lvl w:ilvl="8" w:tplc="04070005">
      <w:start w:val="1"/>
      <w:numFmt w:val="bullet"/>
      <w:lvlText w:val=""/>
      <w:lvlJc w:val="left"/>
      <w:pPr>
        <w:tabs>
          <w:tab w:val="num" w:pos="6480"/>
        </w:tabs>
        <w:ind w:left="6480" w:hanging="360"/>
      </w:pPr>
      <w:rPr>
        <w:rFonts w:ascii="Wingdings" w:hAnsi="Wingdings" w:hint="default"/>
      </w:rPr>
    </w:lvl>
  </w:abstractNum>
  <w:abstractNum w:abstractNumId="26">
    <w:nsid w:val="573E2B89"/>
    <w:multiLevelType w:val="multilevel"/>
    <w:tmpl w:val="058AE1F2"/>
    <w:lvl w:ilvl="0">
      <w:start w:val="1"/>
      <w:numFmt w:val="decimal"/>
      <w:lvlText w:val="%1"/>
      <w:lvlJc w:val="left"/>
      <w:pPr>
        <w:tabs>
          <w:tab w:val="num" w:pos="1701"/>
        </w:tabs>
        <w:ind w:left="1701" w:hanging="567"/>
      </w:pPr>
      <w:rPr>
        <w:rFonts w:ascii="Arial" w:hAnsi="Arial" w:hint="default"/>
        <w:b w:val="0"/>
        <w:i w:val="0"/>
        <w:sz w:val="22"/>
        <w:szCs w:val="22"/>
      </w:rPr>
    </w:lvl>
    <w:lvl w:ilvl="1">
      <w:start w:val="1"/>
      <w:numFmt w:val="lowerLetter"/>
      <w:lvlText w:val="%2"/>
      <w:lvlJc w:val="left"/>
      <w:pPr>
        <w:tabs>
          <w:tab w:val="num" w:pos="2268"/>
        </w:tabs>
        <w:ind w:left="2268" w:hanging="567"/>
      </w:pPr>
      <w:rPr>
        <w:rFonts w:ascii="Arial" w:hAnsi="Arial" w:hint="default"/>
        <w:b w:val="0"/>
        <w:i w:val="0"/>
        <w:sz w:val="22"/>
        <w:szCs w:val="22"/>
      </w:rPr>
    </w:lvl>
    <w:lvl w:ilvl="2">
      <w:start w:val="1"/>
      <w:numFmt w:val="lowerRoman"/>
      <w:pStyle w:val="List1indent2"/>
      <w:lvlText w:val="%3"/>
      <w:lvlJc w:val="left"/>
      <w:pPr>
        <w:tabs>
          <w:tab w:val="num" w:pos="1701"/>
        </w:tabs>
        <w:ind w:left="1134" w:firstLine="0"/>
      </w:pPr>
      <w:rPr>
        <w:rFonts w:ascii="Arial" w:hAnsi="Arial" w:hint="default"/>
        <w:b w:val="0"/>
        <w:i w:val="0"/>
        <w:sz w:val="22"/>
        <w:szCs w:val="22"/>
      </w:rPr>
    </w:lvl>
    <w:lvl w:ilvl="3">
      <w:start w:val="1"/>
      <w:numFmt w:val="decimal"/>
      <w:lvlText w:val="(%4)"/>
      <w:lvlJc w:val="left"/>
      <w:pPr>
        <w:tabs>
          <w:tab w:val="num" w:pos="3141"/>
        </w:tabs>
        <w:ind w:left="3141" w:hanging="360"/>
      </w:pPr>
      <w:rPr>
        <w:rFonts w:hint="default"/>
      </w:rPr>
    </w:lvl>
    <w:lvl w:ilvl="4">
      <w:start w:val="1"/>
      <w:numFmt w:val="lowerLetter"/>
      <w:lvlText w:val="(%5)"/>
      <w:lvlJc w:val="left"/>
      <w:pPr>
        <w:tabs>
          <w:tab w:val="num" w:pos="3501"/>
        </w:tabs>
        <w:ind w:left="3501" w:hanging="360"/>
      </w:pPr>
      <w:rPr>
        <w:rFonts w:hint="default"/>
      </w:rPr>
    </w:lvl>
    <w:lvl w:ilvl="5">
      <w:start w:val="1"/>
      <w:numFmt w:val="lowerRoman"/>
      <w:lvlText w:val="(%6)"/>
      <w:lvlJc w:val="left"/>
      <w:pPr>
        <w:tabs>
          <w:tab w:val="num" w:pos="3861"/>
        </w:tabs>
        <w:ind w:left="3861" w:hanging="360"/>
      </w:pPr>
      <w:rPr>
        <w:rFonts w:hint="default"/>
      </w:rPr>
    </w:lvl>
    <w:lvl w:ilvl="6">
      <w:start w:val="1"/>
      <w:numFmt w:val="decimal"/>
      <w:lvlText w:val="%7."/>
      <w:lvlJc w:val="left"/>
      <w:pPr>
        <w:tabs>
          <w:tab w:val="num" w:pos="4221"/>
        </w:tabs>
        <w:ind w:left="4221" w:hanging="360"/>
      </w:pPr>
      <w:rPr>
        <w:rFonts w:hint="default"/>
      </w:rPr>
    </w:lvl>
    <w:lvl w:ilvl="7">
      <w:start w:val="1"/>
      <w:numFmt w:val="lowerLetter"/>
      <w:lvlText w:val="%8."/>
      <w:lvlJc w:val="left"/>
      <w:pPr>
        <w:tabs>
          <w:tab w:val="num" w:pos="4581"/>
        </w:tabs>
        <w:ind w:left="4581" w:hanging="360"/>
      </w:pPr>
      <w:rPr>
        <w:rFonts w:hint="default"/>
      </w:rPr>
    </w:lvl>
    <w:lvl w:ilvl="8">
      <w:start w:val="1"/>
      <w:numFmt w:val="lowerRoman"/>
      <w:lvlText w:val="%9."/>
      <w:lvlJc w:val="left"/>
      <w:pPr>
        <w:tabs>
          <w:tab w:val="num" w:pos="4941"/>
        </w:tabs>
        <w:ind w:left="4941" w:hanging="360"/>
      </w:pPr>
      <w:rPr>
        <w:rFonts w:hint="default"/>
      </w:rPr>
    </w:lvl>
  </w:abstractNum>
  <w:abstractNum w:abstractNumId="27">
    <w:nsid w:val="596F3EAC"/>
    <w:multiLevelType w:val="hybridMultilevel"/>
    <w:tmpl w:val="03623818"/>
    <w:lvl w:ilvl="0" w:tplc="FFFFFFFF">
      <w:start w:val="2"/>
      <w:numFmt w:val="bullet"/>
      <w:lvlText w:val="-"/>
      <w:lvlJc w:val="left"/>
      <w:pPr>
        <w:tabs>
          <w:tab w:val="num" w:pos="360"/>
        </w:tabs>
        <w:ind w:left="360" w:hanging="360"/>
      </w:pPr>
      <w:rPr>
        <w:rFonts w:ascii="Times New Roman" w:eastAsia="Times New Roman" w:hAnsi="Times New Roman" w:cs="Times New Roman" w:hint="default"/>
      </w:rPr>
    </w:lvl>
    <w:lvl w:ilvl="1" w:tplc="FFFFFFFF">
      <w:start w:val="1"/>
      <w:numFmt w:val="bullet"/>
      <w:lvlText w:val="o"/>
      <w:lvlJc w:val="left"/>
      <w:pPr>
        <w:tabs>
          <w:tab w:val="num" w:pos="1440"/>
        </w:tabs>
        <w:ind w:left="1440" w:hanging="360"/>
      </w:pPr>
      <w:rPr>
        <w:rFonts w:ascii="Courier New" w:hAnsi="Courier New" w:cs="Courier New" w:hint="default"/>
      </w:rPr>
    </w:lvl>
    <w:lvl w:ilvl="2" w:tplc="FFFFFFFF">
      <w:start w:val="1"/>
      <w:numFmt w:val="bullet"/>
      <w:lvlText w:val=""/>
      <w:lvlJc w:val="left"/>
      <w:pPr>
        <w:tabs>
          <w:tab w:val="num" w:pos="2160"/>
        </w:tabs>
        <w:ind w:left="2160" w:hanging="360"/>
      </w:pPr>
      <w:rPr>
        <w:rFonts w:ascii="Wingdings" w:hAnsi="Wingdings" w:hint="default"/>
      </w:rPr>
    </w:lvl>
    <w:lvl w:ilvl="3" w:tplc="FFFFFFFF">
      <w:start w:val="1"/>
      <w:numFmt w:val="bullet"/>
      <w:lvlText w:val=""/>
      <w:lvlJc w:val="left"/>
      <w:pPr>
        <w:tabs>
          <w:tab w:val="num" w:pos="2880"/>
        </w:tabs>
        <w:ind w:left="2880" w:hanging="360"/>
      </w:pPr>
      <w:rPr>
        <w:rFonts w:ascii="Symbol" w:hAnsi="Symbol" w:hint="default"/>
      </w:rPr>
    </w:lvl>
    <w:lvl w:ilvl="4" w:tplc="FFFFFFFF">
      <w:start w:val="1"/>
      <w:numFmt w:val="bullet"/>
      <w:lvlText w:val="o"/>
      <w:lvlJc w:val="left"/>
      <w:pPr>
        <w:tabs>
          <w:tab w:val="num" w:pos="3600"/>
        </w:tabs>
        <w:ind w:left="3600" w:hanging="360"/>
      </w:pPr>
      <w:rPr>
        <w:rFonts w:ascii="Courier New" w:hAnsi="Courier New" w:cs="Courier New" w:hint="default"/>
      </w:rPr>
    </w:lvl>
    <w:lvl w:ilvl="5" w:tplc="FFFFFFFF">
      <w:start w:val="1"/>
      <w:numFmt w:val="bullet"/>
      <w:lvlText w:val=""/>
      <w:lvlJc w:val="left"/>
      <w:pPr>
        <w:tabs>
          <w:tab w:val="num" w:pos="4320"/>
        </w:tabs>
        <w:ind w:left="4320" w:hanging="360"/>
      </w:pPr>
      <w:rPr>
        <w:rFonts w:ascii="Wingdings" w:hAnsi="Wingdings" w:hint="default"/>
      </w:rPr>
    </w:lvl>
    <w:lvl w:ilvl="6" w:tplc="FFFFFFFF">
      <w:start w:val="1"/>
      <w:numFmt w:val="bullet"/>
      <w:lvlText w:val=""/>
      <w:lvlJc w:val="left"/>
      <w:pPr>
        <w:tabs>
          <w:tab w:val="num" w:pos="5040"/>
        </w:tabs>
        <w:ind w:left="5040" w:hanging="360"/>
      </w:pPr>
      <w:rPr>
        <w:rFonts w:ascii="Symbol" w:hAnsi="Symbol" w:hint="default"/>
      </w:rPr>
    </w:lvl>
    <w:lvl w:ilvl="7" w:tplc="FFFFFFFF">
      <w:start w:val="1"/>
      <w:numFmt w:val="bullet"/>
      <w:lvlText w:val="o"/>
      <w:lvlJc w:val="left"/>
      <w:pPr>
        <w:tabs>
          <w:tab w:val="num" w:pos="5760"/>
        </w:tabs>
        <w:ind w:left="5760" w:hanging="360"/>
      </w:pPr>
      <w:rPr>
        <w:rFonts w:ascii="Courier New" w:hAnsi="Courier New" w:cs="Courier New" w:hint="default"/>
      </w:rPr>
    </w:lvl>
    <w:lvl w:ilvl="8" w:tplc="FFFFFFFF">
      <w:start w:val="1"/>
      <w:numFmt w:val="bullet"/>
      <w:lvlText w:val=""/>
      <w:lvlJc w:val="left"/>
      <w:pPr>
        <w:tabs>
          <w:tab w:val="num" w:pos="6480"/>
        </w:tabs>
        <w:ind w:left="6480" w:hanging="360"/>
      </w:pPr>
      <w:rPr>
        <w:rFonts w:ascii="Wingdings" w:hAnsi="Wingdings" w:hint="default"/>
      </w:rPr>
    </w:lvl>
  </w:abstractNum>
  <w:abstractNum w:abstractNumId="28">
    <w:nsid w:val="634C1CBF"/>
    <w:multiLevelType w:val="singleLevel"/>
    <w:tmpl w:val="F5FEC14A"/>
    <w:lvl w:ilvl="0">
      <w:start w:val="1"/>
      <w:numFmt w:val="decimal"/>
      <w:pStyle w:val="Figure"/>
      <w:lvlText w:val="Figure %1"/>
      <w:lvlJc w:val="left"/>
      <w:pPr>
        <w:tabs>
          <w:tab w:val="num" w:pos="1134"/>
        </w:tabs>
        <w:ind w:left="1134" w:hanging="1134"/>
      </w:pPr>
      <w:rPr>
        <w:rFonts w:ascii="Arial" w:hAnsi="Arial" w:hint="default"/>
        <w:b w:val="0"/>
        <w:i/>
        <w:sz w:val="22"/>
      </w:rPr>
    </w:lvl>
  </w:abstractNum>
  <w:abstractNum w:abstractNumId="29">
    <w:nsid w:val="66522FE0"/>
    <w:multiLevelType w:val="hybridMultilevel"/>
    <w:tmpl w:val="A96295D2"/>
    <w:lvl w:ilvl="0" w:tplc="FFFFFFFF">
      <w:start w:val="2"/>
      <w:numFmt w:val="bullet"/>
      <w:lvlText w:val="-"/>
      <w:lvlJc w:val="left"/>
      <w:pPr>
        <w:tabs>
          <w:tab w:val="num" w:pos="360"/>
        </w:tabs>
        <w:ind w:left="360" w:hanging="360"/>
      </w:pPr>
      <w:rPr>
        <w:rFonts w:ascii="Times New Roman" w:eastAsia="Times New Roman" w:hAnsi="Times New Roman" w:cs="Times New Roman" w:hint="default"/>
      </w:rPr>
    </w:lvl>
    <w:lvl w:ilvl="1" w:tplc="FFFFFFFF">
      <w:start w:val="1"/>
      <w:numFmt w:val="bullet"/>
      <w:lvlText w:val="o"/>
      <w:lvlJc w:val="left"/>
      <w:pPr>
        <w:tabs>
          <w:tab w:val="num" w:pos="1440"/>
        </w:tabs>
        <w:ind w:left="1440" w:hanging="360"/>
      </w:pPr>
      <w:rPr>
        <w:rFonts w:ascii="Courier New" w:hAnsi="Courier New" w:cs="Courier New" w:hint="default"/>
      </w:rPr>
    </w:lvl>
    <w:lvl w:ilvl="2" w:tplc="FFFFFFFF">
      <w:start w:val="1"/>
      <w:numFmt w:val="bullet"/>
      <w:lvlText w:val=""/>
      <w:lvlJc w:val="left"/>
      <w:pPr>
        <w:tabs>
          <w:tab w:val="num" w:pos="2160"/>
        </w:tabs>
        <w:ind w:left="2160" w:hanging="360"/>
      </w:pPr>
      <w:rPr>
        <w:rFonts w:ascii="Wingdings" w:hAnsi="Wingdings" w:hint="default"/>
      </w:rPr>
    </w:lvl>
    <w:lvl w:ilvl="3" w:tplc="FFFFFFFF">
      <w:start w:val="1"/>
      <w:numFmt w:val="bullet"/>
      <w:lvlText w:val=""/>
      <w:lvlJc w:val="left"/>
      <w:pPr>
        <w:tabs>
          <w:tab w:val="num" w:pos="2880"/>
        </w:tabs>
        <w:ind w:left="2880" w:hanging="360"/>
      </w:pPr>
      <w:rPr>
        <w:rFonts w:ascii="Symbol" w:hAnsi="Symbol" w:hint="default"/>
      </w:rPr>
    </w:lvl>
    <w:lvl w:ilvl="4" w:tplc="FFFFFFFF">
      <w:start w:val="1"/>
      <w:numFmt w:val="bullet"/>
      <w:lvlText w:val="o"/>
      <w:lvlJc w:val="left"/>
      <w:pPr>
        <w:tabs>
          <w:tab w:val="num" w:pos="3600"/>
        </w:tabs>
        <w:ind w:left="3600" w:hanging="360"/>
      </w:pPr>
      <w:rPr>
        <w:rFonts w:ascii="Courier New" w:hAnsi="Courier New" w:cs="Courier New" w:hint="default"/>
      </w:rPr>
    </w:lvl>
    <w:lvl w:ilvl="5" w:tplc="FFFFFFFF">
      <w:start w:val="1"/>
      <w:numFmt w:val="bullet"/>
      <w:lvlText w:val=""/>
      <w:lvlJc w:val="left"/>
      <w:pPr>
        <w:tabs>
          <w:tab w:val="num" w:pos="4320"/>
        </w:tabs>
        <w:ind w:left="4320" w:hanging="360"/>
      </w:pPr>
      <w:rPr>
        <w:rFonts w:ascii="Wingdings" w:hAnsi="Wingdings" w:hint="default"/>
      </w:rPr>
    </w:lvl>
    <w:lvl w:ilvl="6" w:tplc="FFFFFFFF">
      <w:start w:val="1"/>
      <w:numFmt w:val="bullet"/>
      <w:lvlText w:val=""/>
      <w:lvlJc w:val="left"/>
      <w:pPr>
        <w:tabs>
          <w:tab w:val="num" w:pos="5040"/>
        </w:tabs>
        <w:ind w:left="5040" w:hanging="360"/>
      </w:pPr>
      <w:rPr>
        <w:rFonts w:ascii="Symbol" w:hAnsi="Symbol" w:hint="default"/>
      </w:rPr>
    </w:lvl>
    <w:lvl w:ilvl="7" w:tplc="FFFFFFFF">
      <w:start w:val="1"/>
      <w:numFmt w:val="bullet"/>
      <w:lvlText w:val="o"/>
      <w:lvlJc w:val="left"/>
      <w:pPr>
        <w:tabs>
          <w:tab w:val="num" w:pos="5760"/>
        </w:tabs>
        <w:ind w:left="5760" w:hanging="360"/>
      </w:pPr>
      <w:rPr>
        <w:rFonts w:ascii="Courier New" w:hAnsi="Courier New" w:cs="Courier New" w:hint="default"/>
      </w:rPr>
    </w:lvl>
    <w:lvl w:ilvl="8" w:tplc="FFFFFFFF">
      <w:start w:val="1"/>
      <w:numFmt w:val="bullet"/>
      <w:lvlText w:val=""/>
      <w:lvlJc w:val="left"/>
      <w:pPr>
        <w:tabs>
          <w:tab w:val="num" w:pos="6480"/>
        </w:tabs>
        <w:ind w:left="6480" w:hanging="360"/>
      </w:pPr>
      <w:rPr>
        <w:rFonts w:ascii="Wingdings" w:hAnsi="Wingdings" w:hint="default"/>
      </w:rPr>
    </w:lvl>
  </w:abstractNum>
  <w:abstractNum w:abstractNumId="30">
    <w:nsid w:val="666505A5"/>
    <w:multiLevelType w:val="hybridMultilevel"/>
    <w:tmpl w:val="760E78F8"/>
    <w:lvl w:ilvl="0" w:tplc="FFFFFFFF">
      <w:start w:val="2"/>
      <w:numFmt w:val="bullet"/>
      <w:lvlText w:val="-"/>
      <w:lvlJc w:val="left"/>
      <w:pPr>
        <w:tabs>
          <w:tab w:val="num" w:pos="360"/>
        </w:tabs>
        <w:ind w:left="360" w:hanging="360"/>
      </w:pPr>
      <w:rPr>
        <w:rFonts w:ascii="Times New Roman" w:eastAsia="Times New Roman" w:hAnsi="Times New Roman" w:cs="Times New Roman" w:hint="default"/>
      </w:rPr>
    </w:lvl>
    <w:lvl w:ilvl="1" w:tplc="FFFFFFFF">
      <w:start w:val="1"/>
      <w:numFmt w:val="bullet"/>
      <w:lvlText w:val="o"/>
      <w:lvlJc w:val="left"/>
      <w:pPr>
        <w:tabs>
          <w:tab w:val="num" w:pos="1440"/>
        </w:tabs>
        <w:ind w:left="1440" w:hanging="360"/>
      </w:pPr>
      <w:rPr>
        <w:rFonts w:ascii="Courier New" w:hAnsi="Courier New" w:cs="Courier New" w:hint="default"/>
      </w:rPr>
    </w:lvl>
    <w:lvl w:ilvl="2" w:tplc="FFFFFFFF">
      <w:start w:val="1"/>
      <w:numFmt w:val="bullet"/>
      <w:lvlText w:val=""/>
      <w:lvlJc w:val="left"/>
      <w:pPr>
        <w:tabs>
          <w:tab w:val="num" w:pos="2160"/>
        </w:tabs>
        <w:ind w:left="2160" w:hanging="360"/>
      </w:pPr>
      <w:rPr>
        <w:rFonts w:ascii="Wingdings" w:hAnsi="Wingdings" w:hint="default"/>
      </w:rPr>
    </w:lvl>
    <w:lvl w:ilvl="3" w:tplc="FFFFFFFF">
      <w:start w:val="1"/>
      <w:numFmt w:val="bullet"/>
      <w:lvlText w:val=""/>
      <w:lvlJc w:val="left"/>
      <w:pPr>
        <w:tabs>
          <w:tab w:val="num" w:pos="2880"/>
        </w:tabs>
        <w:ind w:left="2880" w:hanging="360"/>
      </w:pPr>
      <w:rPr>
        <w:rFonts w:ascii="Symbol" w:hAnsi="Symbol" w:hint="default"/>
      </w:rPr>
    </w:lvl>
    <w:lvl w:ilvl="4" w:tplc="FFFFFFFF">
      <w:start w:val="1"/>
      <w:numFmt w:val="bullet"/>
      <w:lvlText w:val="o"/>
      <w:lvlJc w:val="left"/>
      <w:pPr>
        <w:tabs>
          <w:tab w:val="num" w:pos="3600"/>
        </w:tabs>
        <w:ind w:left="3600" w:hanging="360"/>
      </w:pPr>
      <w:rPr>
        <w:rFonts w:ascii="Courier New" w:hAnsi="Courier New" w:cs="Courier New" w:hint="default"/>
      </w:rPr>
    </w:lvl>
    <w:lvl w:ilvl="5" w:tplc="FFFFFFFF">
      <w:start w:val="1"/>
      <w:numFmt w:val="bullet"/>
      <w:lvlText w:val=""/>
      <w:lvlJc w:val="left"/>
      <w:pPr>
        <w:tabs>
          <w:tab w:val="num" w:pos="4320"/>
        </w:tabs>
        <w:ind w:left="4320" w:hanging="360"/>
      </w:pPr>
      <w:rPr>
        <w:rFonts w:ascii="Wingdings" w:hAnsi="Wingdings" w:hint="default"/>
      </w:rPr>
    </w:lvl>
    <w:lvl w:ilvl="6" w:tplc="FFFFFFFF">
      <w:start w:val="1"/>
      <w:numFmt w:val="bullet"/>
      <w:lvlText w:val=""/>
      <w:lvlJc w:val="left"/>
      <w:pPr>
        <w:tabs>
          <w:tab w:val="num" w:pos="5040"/>
        </w:tabs>
        <w:ind w:left="5040" w:hanging="360"/>
      </w:pPr>
      <w:rPr>
        <w:rFonts w:ascii="Symbol" w:hAnsi="Symbol" w:hint="default"/>
      </w:rPr>
    </w:lvl>
    <w:lvl w:ilvl="7" w:tplc="FFFFFFFF">
      <w:start w:val="1"/>
      <w:numFmt w:val="bullet"/>
      <w:lvlText w:val="o"/>
      <w:lvlJc w:val="left"/>
      <w:pPr>
        <w:tabs>
          <w:tab w:val="num" w:pos="5760"/>
        </w:tabs>
        <w:ind w:left="5760" w:hanging="360"/>
      </w:pPr>
      <w:rPr>
        <w:rFonts w:ascii="Courier New" w:hAnsi="Courier New" w:cs="Courier New" w:hint="default"/>
      </w:rPr>
    </w:lvl>
    <w:lvl w:ilvl="8" w:tplc="FFFFFFFF">
      <w:start w:val="1"/>
      <w:numFmt w:val="bullet"/>
      <w:lvlText w:val=""/>
      <w:lvlJc w:val="left"/>
      <w:pPr>
        <w:tabs>
          <w:tab w:val="num" w:pos="6480"/>
        </w:tabs>
        <w:ind w:left="6480" w:hanging="360"/>
      </w:pPr>
      <w:rPr>
        <w:rFonts w:ascii="Wingdings" w:hAnsi="Wingdings" w:hint="default"/>
      </w:rPr>
    </w:lvl>
  </w:abstractNum>
  <w:abstractNum w:abstractNumId="31">
    <w:nsid w:val="6FF55E26"/>
    <w:multiLevelType w:val="hybridMultilevel"/>
    <w:tmpl w:val="DEB2CD88"/>
    <w:lvl w:ilvl="0" w:tplc="04070005">
      <w:start w:val="2"/>
      <w:numFmt w:val="bullet"/>
      <w:lvlText w:val="-"/>
      <w:lvlJc w:val="left"/>
      <w:pPr>
        <w:tabs>
          <w:tab w:val="num" w:pos="360"/>
        </w:tabs>
        <w:ind w:left="360" w:hanging="360"/>
      </w:pPr>
      <w:rPr>
        <w:rFonts w:ascii="Times New Roman" w:eastAsia="Times New Roman" w:hAnsi="Times New Roman" w:cs="Times New Roman" w:hint="default"/>
      </w:rPr>
    </w:lvl>
    <w:lvl w:ilvl="1" w:tplc="04070003">
      <w:start w:val="1"/>
      <w:numFmt w:val="bullet"/>
      <w:lvlText w:val="o"/>
      <w:lvlJc w:val="left"/>
      <w:pPr>
        <w:tabs>
          <w:tab w:val="num" w:pos="732"/>
        </w:tabs>
        <w:ind w:left="732" w:hanging="360"/>
      </w:pPr>
      <w:rPr>
        <w:rFonts w:ascii="Courier New" w:hAnsi="Courier New" w:cs="Courier New" w:hint="default"/>
      </w:rPr>
    </w:lvl>
    <w:lvl w:ilvl="2" w:tplc="04070005">
      <w:start w:val="1"/>
      <w:numFmt w:val="bullet"/>
      <w:lvlText w:val=""/>
      <w:lvlJc w:val="left"/>
      <w:pPr>
        <w:tabs>
          <w:tab w:val="num" w:pos="1452"/>
        </w:tabs>
        <w:ind w:left="1452" w:hanging="360"/>
      </w:pPr>
      <w:rPr>
        <w:rFonts w:ascii="Wingdings" w:hAnsi="Wingdings" w:hint="default"/>
      </w:rPr>
    </w:lvl>
    <w:lvl w:ilvl="3" w:tplc="04070001">
      <w:start w:val="1"/>
      <w:numFmt w:val="bullet"/>
      <w:lvlText w:val=""/>
      <w:lvlJc w:val="left"/>
      <w:pPr>
        <w:tabs>
          <w:tab w:val="num" w:pos="2172"/>
        </w:tabs>
        <w:ind w:left="2172" w:hanging="360"/>
      </w:pPr>
      <w:rPr>
        <w:rFonts w:ascii="Symbol" w:hAnsi="Symbol" w:hint="default"/>
      </w:rPr>
    </w:lvl>
    <w:lvl w:ilvl="4" w:tplc="04070003">
      <w:start w:val="1"/>
      <w:numFmt w:val="bullet"/>
      <w:lvlText w:val="o"/>
      <w:lvlJc w:val="left"/>
      <w:pPr>
        <w:tabs>
          <w:tab w:val="num" w:pos="2892"/>
        </w:tabs>
        <w:ind w:left="2892" w:hanging="360"/>
      </w:pPr>
      <w:rPr>
        <w:rFonts w:ascii="Courier New" w:hAnsi="Courier New" w:cs="Courier New" w:hint="default"/>
      </w:rPr>
    </w:lvl>
    <w:lvl w:ilvl="5" w:tplc="04070005">
      <w:start w:val="1"/>
      <w:numFmt w:val="bullet"/>
      <w:lvlText w:val=""/>
      <w:lvlJc w:val="left"/>
      <w:pPr>
        <w:tabs>
          <w:tab w:val="num" w:pos="3612"/>
        </w:tabs>
        <w:ind w:left="3612" w:hanging="360"/>
      </w:pPr>
      <w:rPr>
        <w:rFonts w:ascii="Wingdings" w:hAnsi="Wingdings" w:hint="default"/>
      </w:rPr>
    </w:lvl>
    <w:lvl w:ilvl="6" w:tplc="04070001">
      <w:start w:val="1"/>
      <w:numFmt w:val="bullet"/>
      <w:lvlText w:val=""/>
      <w:lvlJc w:val="left"/>
      <w:pPr>
        <w:tabs>
          <w:tab w:val="num" w:pos="4332"/>
        </w:tabs>
        <w:ind w:left="4332" w:hanging="360"/>
      </w:pPr>
      <w:rPr>
        <w:rFonts w:ascii="Symbol" w:hAnsi="Symbol" w:hint="default"/>
      </w:rPr>
    </w:lvl>
    <w:lvl w:ilvl="7" w:tplc="04070003">
      <w:start w:val="1"/>
      <w:numFmt w:val="bullet"/>
      <w:lvlText w:val="o"/>
      <w:lvlJc w:val="left"/>
      <w:pPr>
        <w:tabs>
          <w:tab w:val="num" w:pos="5052"/>
        </w:tabs>
        <w:ind w:left="5052" w:hanging="360"/>
      </w:pPr>
      <w:rPr>
        <w:rFonts w:ascii="Courier New" w:hAnsi="Courier New" w:cs="Courier New" w:hint="default"/>
      </w:rPr>
    </w:lvl>
    <w:lvl w:ilvl="8" w:tplc="04070005">
      <w:start w:val="1"/>
      <w:numFmt w:val="bullet"/>
      <w:lvlText w:val=""/>
      <w:lvlJc w:val="left"/>
      <w:pPr>
        <w:tabs>
          <w:tab w:val="num" w:pos="5772"/>
        </w:tabs>
        <w:ind w:left="5772" w:hanging="360"/>
      </w:pPr>
      <w:rPr>
        <w:rFonts w:ascii="Wingdings" w:hAnsi="Wingdings" w:hint="default"/>
      </w:rPr>
    </w:lvl>
  </w:abstractNum>
  <w:abstractNum w:abstractNumId="32">
    <w:nsid w:val="76D64DA6"/>
    <w:multiLevelType w:val="hybridMultilevel"/>
    <w:tmpl w:val="7A3AA616"/>
    <w:lvl w:ilvl="0" w:tplc="79A2B4A4">
      <w:start w:val="1"/>
      <w:numFmt w:val="bullet"/>
      <w:pStyle w:val="Bullet3"/>
      <w:lvlText w:val=""/>
      <w:lvlJc w:val="left"/>
      <w:pPr>
        <w:ind w:left="1778" w:hanging="360"/>
      </w:pPr>
      <w:rPr>
        <w:rFonts w:ascii="Wingdings" w:hAnsi="Wingdings"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33">
    <w:nsid w:val="77E03022"/>
    <w:multiLevelType w:val="hybridMultilevel"/>
    <w:tmpl w:val="9A1A406C"/>
    <w:lvl w:ilvl="0" w:tplc="FFFFFFFF">
      <w:start w:val="2"/>
      <w:numFmt w:val="bullet"/>
      <w:lvlText w:val="-"/>
      <w:lvlJc w:val="left"/>
      <w:pPr>
        <w:tabs>
          <w:tab w:val="num" w:pos="360"/>
        </w:tabs>
        <w:ind w:left="360" w:hanging="360"/>
      </w:pPr>
      <w:rPr>
        <w:rFonts w:ascii="Times New Roman" w:eastAsia="Times New Roman" w:hAnsi="Times New Roman" w:cs="Times New Roman" w:hint="default"/>
      </w:rPr>
    </w:lvl>
    <w:lvl w:ilvl="1" w:tplc="FFFFFFFF">
      <w:start w:val="1"/>
      <w:numFmt w:val="bullet"/>
      <w:lvlText w:val="o"/>
      <w:lvlJc w:val="left"/>
      <w:pPr>
        <w:tabs>
          <w:tab w:val="num" w:pos="1440"/>
        </w:tabs>
        <w:ind w:left="1440" w:hanging="360"/>
      </w:pPr>
      <w:rPr>
        <w:rFonts w:ascii="Courier New" w:hAnsi="Courier New" w:cs="Courier New" w:hint="default"/>
      </w:rPr>
    </w:lvl>
    <w:lvl w:ilvl="2" w:tplc="FFFFFFFF">
      <w:start w:val="1"/>
      <w:numFmt w:val="bullet"/>
      <w:lvlText w:val=""/>
      <w:lvlJc w:val="left"/>
      <w:pPr>
        <w:tabs>
          <w:tab w:val="num" w:pos="2160"/>
        </w:tabs>
        <w:ind w:left="2160" w:hanging="360"/>
      </w:pPr>
      <w:rPr>
        <w:rFonts w:ascii="Wingdings" w:hAnsi="Wingdings" w:hint="default"/>
      </w:rPr>
    </w:lvl>
    <w:lvl w:ilvl="3" w:tplc="FFFFFFFF">
      <w:start w:val="1"/>
      <w:numFmt w:val="bullet"/>
      <w:lvlText w:val=""/>
      <w:lvlJc w:val="left"/>
      <w:pPr>
        <w:tabs>
          <w:tab w:val="num" w:pos="2880"/>
        </w:tabs>
        <w:ind w:left="2880" w:hanging="360"/>
      </w:pPr>
      <w:rPr>
        <w:rFonts w:ascii="Symbol" w:hAnsi="Symbol" w:hint="default"/>
      </w:rPr>
    </w:lvl>
    <w:lvl w:ilvl="4" w:tplc="FFFFFFFF">
      <w:start w:val="1"/>
      <w:numFmt w:val="bullet"/>
      <w:lvlText w:val="o"/>
      <w:lvlJc w:val="left"/>
      <w:pPr>
        <w:tabs>
          <w:tab w:val="num" w:pos="3600"/>
        </w:tabs>
        <w:ind w:left="3600" w:hanging="360"/>
      </w:pPr>
      <w:rPr>
        <w:rFonts w:ascii="Courier New" w:hAnsi="Courier New" w:cs="Courier New" w:hint="default"/>
      </w:rPr>
    </w:lvl>
    <w:lvl w:ilvl="5" w:tplc="FFFFFFFF">
      <w:start w:val="1"/>
      <w:numFmt w:val="bullet"/>
      <w:lvlText w:val=""/>
      <w:lvlJc w:val="left"/>
      <w:pPr>
        <w:tabs>
          <w:tab w:val="num" w:pos="4320"/>
        </w:tabs>
        <w:ind w:left="4320" w:hanging="360"/>
      </w:pPr>
      <w:rPr>
        <w:rFonts w:ascii="Wingdings" w:hAnsi="Wingdings" w:hint="default"/>
      </w:rPr>
    </w:lvl>
    <w:lvl w:ilvl="6" w:tplc="FFFFFFFF">
      <w:start w:val="1"/>
      <w:numFmt w:val="bullet"/>
      <w:lvlText w:val=""/>
      <w:lvlJc w:val="left"/>
      <w:pPr>
        <w:tabs>
          <w:tab w:val="num" w:pos="5040"/>
        </w:tabs>
        <w:ind w:left="5040" w:hanging="360"/>
      </w:pPr>
      <w:rPr>
        <w:rFonts w:ascii="Symbol" w:hAnsi="Symbol" w:hint="default"/>
      </w:rPr>
    </w:lvl>
    <w:lvl w:ilvl="7" w:tplc="FFFFFFFF">
      <w:start w:val="1"/>
      <w:numFmt w:val="bullet"/>
      <w:lvlText w:val="o"/>
      <w:lvlJc w:val="left"/>
      <w:pPr>
        <w:tabs>
          <w:tab w:val="num" w:pos="5760"/>
        </w:tabs>
        <w:ind w:left="5760" w:hanging="360"/>
      </w:pPr>
      <w:rPr>
        <w:rFonts w:ascii="Courier New" w:hAnsi="Courier New" w:cs="Courier New" w:hint="default"/>
      </w:rPr>
    </w:lvl>
    <w:lvl w:ilvl="8" w:tplc="FFFFFFFF">
      <w:start w:val="1"/>
      <w:numFmt w:val="bullet"/>
      <w:lvlText w:val=""/>
      <w:lvlJc w:val="left"/>
      <w:pPr>
        <w:tabs>
          <w:tab w:val="num" w:pos="6480"/>
        </w:tabs>
        <w:ind w:left="6480" w:hanging="360"/>
      </w:pPr>
      <w:rPr>
        <w:rFonts w:ascii="Wingdings" w:hAnsi="Wingdings" w:hint="default"/>
      </w:rPr>
    </w:lvl>
  </w:abstractNum>
  <w:abstractNum w:abstractNumId="34">
    <w:nsid w:val="782A3190"/>
    <w:multiLevelType w:val="multilevel"/>
    <w:tmpl w:val="C1AC89BC"/>
    <w:lvl w:ilvl="0">
      <w:start w:val="1"/>
      <w:numFmt w:val="decimal"/>
      <w:pStyle w:val="Recallinglist1"/>
      <w:lvlText w:val="%1"/>
      <w:lvlJc w:val="left"/>
      <w:pPr>
        <w:tabs>
          <w:tab w:val="num" w:pos="1134"/>
        </w:tabs>
        <w:ind w:left="1134" w:hanging="567"/>
      </w:pPr>
      <w:rPr>
        <w:rFonts w:hint="default"/>
      </w:rPr>
    </w:lvl>
    <w:lvl w:ilvl="1">
      <w:start w:val="1"/>
      <w:numFmt w:val="lowerLetter"/>
      <w:pStyle w:val="Recallinglist2"/>
      <w:lvlText w:val="%2"/>
      <w:lvlJc w:val="left"/>
      <w:pPr>
        <w:tabs>
          <w:tab w:val="num" w:pos="1701"/>
        </w:tabs>
        <w:ind w:left="1701" w:hanging="567"/>
      </w:pPr>
      <w:rPr>
        <w:rFonts w:hint="default"/>
      </w:rPr>
    </w:lvl>
    <w:lvl w:ilvl="2">
      <w:start w:val="1"/>
      <w:numFmt w:val="lowerRoman"/>
      <w:pStyle w:val="Recallinglist3"/>
      <w:lvlText w:val="%3"/>
      <w:lvlJc w:val="left"/>
      <w:pPr>
        <w:tabs>
          <w:tab w:val="num" w:pos="2268"/>
        </w:tabs>
        <w:ind w:left="2268" w:hanging="567"/>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5">
    <w:nsid w:val="78BA4B1E"/>
    <w:multiLevelType w:val="multilevel"/>
    <w:tmpl w:val="834093BA"/>
    <w:lvl w:ilvl="0">
      <w:start w:val="1"/>
      <w:numFmt w:val="decimal"/>
      <w:pStyle w:val="List1"/>
      <w:lvlText w:val="%1"/>
      <w:lvlJc w:val="left"/>
      <w:pPr>
        <w:tabs>
          <w:tab w:val="num" w:pos="567"/>
        </w:tabs>
        <w:ind w:left="567" w:hanging="567"/>
      </w:pPr>
      <w:rPr>
        <w:rFonts w:ascii="Arial" w:hAnsi="Arial" w:hint="default"/>
        <w:b w:val="0"/>
        <w:i w:val="0"/>
        <w:sz w:val="22"/>
        <w:szCs w:val="22"/>
      </w:rPr>
    </w:lvl>
    <w:lvl w:ilvl="1">
      <w:start w:val="1"/>
      <w:numFmt w:val="lowerLetter"/>
      <w:pStyle w:val="List1indent"/>
      <w:lvlText w:val="%2"/>
      <w:lvlJc w:val="left"/>
      <w:pPr>
        <w:tabs>
          <w:tab w:val="num" w:pos="1134"/>
        </w:tabs>
        <w:ind w:left="567" w:firstLine="0"/>
      </w:pPr>
      <w:rPr>
        <w:rFonts w:ascii="Arial" w:hAnsi="Arial" w:hint="default"/>
        <w:b w:val="0"/>
        <w:i w:val="0"/>
        <w:sz w:val="22"/>
        <w:szCs w:val="22"/>
      </w:rPr>
    </w:lvl>
    <w:lvl w:ilvl="2">
      <w:start w:val="1"/>
      <w:numFmt w:val="lowerRoman"/>
      <w:lvlText w:val="%3)"/>
      <w:lvlJc w:val="left"/>
      <w:pPr>
        <w:tabs>
          <w:tab w:val="num" w:pos="1647"/>
        </w:tabs>
        <w:ind w:left="1647" w:hanging="360"/>
      </w:pPr>
      <w:rPr>
        <w:rFonts w:hint="default"/>
      </w:rPr>
    </w:lvl>
    <w:lvl w:ilvl="3">
      <w:start w:val="1"/>
      <w:numFmt w:val="decimal"/>
      <w:lvlText w:val="(%4)"/>
      <w:lvlJc w:val="left"/>
      <w:pPr>
        <w:tabs>
          <w:tab w:val="num" w:pos="2007"/>
        </w:tabs>
        <w:ind w:left="2007" w:hanging="360"/>
      </w:pPr>
      <w:rPr>
        <w:rFonts w:hint="default"/>
      </w:rPr>
    </w:lvl>
    <w:lvl w:ilvl="4">
      <w:start w:val="1"/>
      <w:numFmt w:val="lowerLetter"/>
      <w:lvlText w:val="(%5)"/>
      <w:lvlJc w:val="left"/>
      <w:pPr>
        <w:tabs>
          <w:tab w:val="num" w:pos="2367"/>
        </w:tabs>
        <w:ind w:left="2367" w:hanging="360"/>
      </w:pPr>
      <w:rPr>
        <w:rFonts w:hint="default"/>
      </w:rPr>
    </w:lvl>
    <w:lvl w:ilvl="5">
      <w:start w:val="1"/>
      <w:numFmt w:val="lowerRoman"/>
      <w:lvlText w:val="(%6)"/>
      <w:lvlJc w:val="left"/>
      <w:pPr>
        <w:tabs>
          <w:tab w:val="num" w:pos="2727"/>
        </w:tabs>
        <w:ind w:left="2727" w:hanging="360"/>
      </w:pPr>
      <w:rPr>
        <w:rFonts w:hint="default"/>
      </w:rPr>
    </w:lvl>
    <w:lvl w:ilvl="6">
      <w:start w:val="1"/>
      <w:numFmt w:val="decimal"/>
      <w:lvlText w:val="%7."/>
      <w:lvlJc w:val="left"/>
      <w:pPr>
        <w:tabs>
          <w:tab w:val="num" w:pos="3087"/>
        </w:tabs>
        <w:ind w:left="3087" w:hanging="360"/>
      </w:pPr>
      <w:rPr>
        <w:rFonts w:hint="default"/>
      </w:rPr>
    </w:lvl>
    <w:lvl w:ilvl="7">
      <w:start w:val="1"/>
      <w:numFmt w:val="lowerLetter"/>
      <w:lvlText w:val="%8."/>
      <w:lvlJc w:val="left"/>
      <w:pPr>
        <w:tabs>
          <w:tab w:val="num" w:pos="3447"/>
        </w:tabs>
        <w:ind w:left="3447" w:hanging="360"/>
      </w:pPr>
      <w:rPr>
        <w:rFonts w:hint="default"/>
      </w:rPr>
    </w:lvl>
    <w:lvl w:ilvl="8">
      <w:start w:val="1"/>
      <w:numFmt w:val="lowerRoman"/>
      <w:lvlText w:val="%9."/>
      <w:lvlJc w:val="left"/>
      <w:pPr>
        <w:tabs>
          <w:tab w:val="num" w:pos="3807"/>
        </w:tabs>
        <w:ind w:left="3807" w:hanging="360"/>
      </w:pPr>
      <w:rPr>
        <w:rFonts w:hint="default"/>
      </w:rPr>
    </w:lvl>
  </w:abstractNum>
  <w:abstractNum w:abstractNumId="36">
    <w:nsid w:val="78BE5BC3"/>
    <w:multiLevelType w:val="hybridMultilevel"/>
    <w:tmpl w:val="CF50C9F8"/>
    <w:lvl w:ilvl="0" w:tplc="F6DC0CB2">
      <w:start w:val="2"/>
      <w:numFmt w:val="bullet"/>
      <w:lvlText w:val="-"/>
      <w:lvlJc w:val="left"/>
      <w:pPr>
        <w:tabs>
          <w:tab w:val="num" w:pos="360"/>
        </w:tabs>
        <w:ind w:left="360" w:hanging="360"/>
      </w:pPr>
      <w:rPr>
        <w:rFonts w:ascii="Times New Roman" w:eastAsia="Times New Roman" w:hAnsi="Times New Roman" w:cs="Times New Roman" w:hint="default"/>
      </w:rPr>
    </w:lvl>
    <w:lvl w:ilvl="1" w:tplc="04070003">
      <w:start w:val="1"/>
      <w:numFmt w:val="bullet"/>
      <w:lvlText w:val="o"/>
      <w:lvlJc w:val="left"/>
      <w:pPr>
        <w:tabs>
          <w:tab w:val="num" w:pos="1440"/>
        </w:tabs>
        <w:ind w:left="1440" w:hanging="360"/>
      </w:pPr>
      <w:rPr>
        <w:rFonts w:ascii="Courier New" w:hAnsi="Courier New" w:cs="Courier New" w:hint="default"/>
      </w:rPr>
    </w:lvl>
    <w:lvl w:ilvl="2" w:tplc="04070005">
      <w:start w:val="1"/>
      <w:numFmt w:val="bullet"/>
      <w:lvlText w:val=""/>
      <w:lvlJc w:val="left"/>
      <w:pPr>
        <w:tabs>
          <w:tab w:val="num" w:pos="2160"/>
        </w:tabs>
        <w:ind w:left="2160" w:hanging="360"/>
      </w:pPr>
      <w:rPr>
        <w:rFonts w:ascii="Wingdings" w:hAnsi="Wingdings" w:hint="default"/>
      </w:rPr>
    </w:lvl>
    <w:lvl w:ilvl="3" w:tplc="04070001">
      <w:start w:val="1"/>
      <w:numFmt w:val="bullet"/>
      <w:lvlText w:val=""/>
      <w:lvlJc w:val="left"/>
      <w:pPr>
        <w:tabs>
          <w:tab w:val="num" w:pos="2880"/>
        </w:tabs>
        <w:ind w:left="2880" w:hanging="360"/>
      </w:pPr>
      <w:rPr>
        <w:rFonts w:ascii="Symbol" w:hAnsi="Symbol" w:hint="default"/>
      </w:rPr>
    </w:lvl>
    <w:lvl w:ilvl="4" w:tplc="04070003">
      <w:start w:val="1"/>
      <w:numFmt w:val="bullet"/>
      <w:lvlText w:val="o"/>
      <w:lvlJc w:val="left"/>
      <w:pPr>
        <w:tabs>
          <w:tab w:val="num" w:pos="3600"/>
        </w:tabs>
        <w:ind w:left="3600" w:hanging="360"/>
      </w:pPr>
      <w:rPr>
        <w:rFonts w:ascii="Courier New" w:hAnsi="Courier New" w:cs="Courier New" w:hint="default"/>
      </w:rPr>
    </w:lvl>
    <w:lvl w:ilvl="5" w:tplc="04070005">
      <w:start w:val="1"/>
      <w:numFmt w:val="bullet"/>
      <w:lvlText w:val=""/>
      <w:lvlJc w:val="left"/>
      <w:pPr>
        <w:tabs>
          <w:tab w:val="num" w:pos="4320"/>
        </w:tabs>
        <w:ind w:left="4320" w:hanging="360"/>
      </w:pPr>
      <w:rPr>
        <w:rFonts w:ascii="Wingdings" w:hAnsi="Wingdings" w:hint="default"/>
      </w:rPr>
    </w:lvl>
    <w:lvl w:ilvl="6" w:tplc="04070001">
      <w:start w:val="1"/>
      <w:numFmt w:val="bullet"/>
      <w:lvlText w:val=""/>
      <w:lvlJc w:val="left"/>
      <w:pPr>
        <w:tabs>
          <w:tab w:val="num" w:pos="5040"/>
        </w:tabs>
        <w:ind w:left="5040" w:hanging="360"/>
      </w:pPr>
      <w:rPr>
        <w:rFonts w:ascii="Symbol" w:hAnsi="Symbol" w:hint="default"/>
      </w:rPr>
    </w:lvl>
    <w:lvl w:ilvl="7" w:tplc="04070003">
      <w:start w:val="1"/>
      <w:numFmt w:val="bullet"/>
      <w:lvlText w:val="o"/>
      <w:lvlJc w:val="left"/>
      <w:pPr>
        <w:tabs>
          <w:tab w:val="num" w:pos="5760"/>
        </w:tabs>
        <w:ind w:left="5760" w:hanging="360"/>
      </w:pPr>
      <w:rPr>
        <w:rFonts w:ascii="Courier New" w:hAnsi="Courier New" w:cs="Courier New" w:hint="default"/>
      </w:rPr>
    </w:lvl>
    <w:lvl w:ilvl="8" w:tplc="04070005">
      <w:start w:val="1"/>
      <w:numFmt w:val="bullet"/>
      <w:lvlText w:val=""/>
      <w:lvlJc w:val="left"/>
      <w:pPr>
        <w:tabs>
          <w:tab w:val="num" w:pos="6480"/>
        </w:tabs>
        <w:ind w:left="6480" w:hanging="360"/>
      </w:pPr>
      <w:rPr>
        <w:rFonts w:ascii="Wingdings" w:hAnsi="Wingdings" w:hint="default"/>
      </w:rPr>
    </w:lvl>
  </w:abstractNum>
  <w:abstractNum w:abstractNumId="37">
    <w:nsid w:val="7C69115A"/>
    <w:multiLevelType w:val="hybridMultilevel"/>
    <w:tmpl w:val="CCF6B48A"/>
    <w:lvl w:ilvl="0" w:tplc="04070003">
      <w:start w:val="1"/>
      <w:numFmt w:val="bullet"/>
      <w:lvlText w:val="o"/>
      <w:lvlJc w:val="left"/>
      <w:pPr>
        <w:tabs>
          <w:tab w:val="num" w:pos="1080"/>
        </w:tabs>
        <w:ind w:left="1080" w:hanging="360"/>
      </w:pPr>
      <w:rPr>
        <w:rFonts w:ascii="Courier New" w:hAnsi="Courier New" w:cs="Courier New" w:hint="default"/>
      </w:rPr>
    </w:lvl>
    <w:lvl w:ilvl="1" w:tplc="FFFFFFFF">
      <w:start w:val="1"/>
      <w:numFmt w:val="bullet"/>
      <w:lvlText w:val="o"/>
      <w:lvlJc w:val="left"/>
      <w:pPr>
        <w:tabs>
          <w:tab w:val="num" w:pos="1800"/>
        </w:tabs>
        <w:ind w:left="1800" w:hanging="360"/>
      </w:pPr>
      <w:rPr>
        <w:rFonts w:ascii="Courier New" w:hAnsi="Courier New" w:cs="Courier New" w:hint="default"/>
      </w:rPr>
    </w:lvl>
    <w:lvl w:ilvl="2" w:tplc="04070005">
      <w:start w:val="1"/>
      <w:numFmt w:val="bullet"/>
      <w:lvlText w:val=""/>
      <w:lvlJc w:val="left"/>
      <w:pPr>
        <w:tabs>
          <w:tab w:val="num" w:pos="2520"/>
        </w:tabs>
        <w:ind w:left="2520" w:hanging="360"/>
      </w:pPr>
      <w:rPr>
        <w:rFonts w:ascii="Wingdings" w:hAnsi="Wingdings" w:hint="default"/>
      </w:rPr>
    </w:lvl>
    <w:lvl w:ilvl="3" w:tplc="04070001">
      <w:start w:val="1"/>
      <w:numFmt w:val="bullet"/>
      <w:lvlText w:val=""/>
      <w:lvlJc w:val="left"/>
      <w:pPr>
        <w:tabs>
          <w:tab w:val="num" w:pos="3240"/>
        </w:tabs>
        <w:ind w:left="3240" w:hanging="360"/>
      </w:pPr>
      <w:rPr>
        <w:rFonts w:ascii="Symbol" w:hAnsi="Symbol" w:hint="default"/>
      </w:rPr>
    </w:lvl>
    <w:lvl w:ilvl="4" w:tplc="04070003">
      <w:start w:val="1"/>
      <w:numFmt w:val="bullet"/>
      <w:lvlText w:val="o"/>
      <w:lvlJc w:val="left"/>
      <w:pPr>
        <w:tabs>
          <w:tab w:val="num" w:pos="3960"/>
        </w:tabs>
        <w:ind w:left="3960" w:hanging="360"/>
      </w:pPr>
      <w:rPr>
        <w:rFonts w:ascii="Courier New" w:hAnsi="Courier New" w:cs="Courier New" w:hint="default"/>
      </w:rPr>
    </w:lvl>
    <w:lvl w:ilvl="5" w:tplc="04070005">
      <w:start w:val="1"/>
      <w:numFmt w:val="bullet"/>
      <w:lvlText w:val=""/>
      <w:lvlJc w:val="left"/>
      <w:pPr>
        <w:tabs>
          <w:tab w:val="num" w:pos="4680"/>
        </w:tabs>
        <w:ind w:left="4680" w:hanging="360"/>
      </w:pPr>
      <w:rPr>
        <w:rFonts w:ascii="Wingdings" w:hAnsi="Wingdings" w:hint="default"/>
      </w:rPr>
    </w:lvl>
    <w:lvl w:ilvl="6" w:tplc="04070001">
      <w:start w:val="1"/>
      <w:numFmt w:val="bullet"/>
      <w:lvlText w:val=""/>
      <w:lvlJc w:val="left"/>
      <w:pPr>
        <w:tabs>
          <w:tab w:val="num" w:pos="5400"/>
        </w:tabs>
        <w:ind w:left="5400" w:hanging="360"/>
      </w:pPr>
      <w:rPr>
        <w:rFonts w:ascii="Symbol" w:hAnsi="Symbol" w:hint="default"/>
      </w:rPr>
    </w:lvl>
    <w:lvl w:ilvl="7" w:tplc="04070003">
      <w:start w:val="1"/>
      <w:numFmt w:val="bullet"/>
      <w:lvlText w:val="o"/>
      <w:lvlJc w:val="left"/>
      <w:pPr>
        <w:tabs>
          <w:tab w:val="num" w:pos="6120"/>
        </w:tabs>
        <w:ind w:left="6120" w:hanging="360"/>
      </w:pPr>
      <w:rPr>
        <w:rFonts w:ascii="Courier New" w:hAnsi="Courier New" w:cs="Courier New" w:hint="default"/>
      </w:rPr>
    </w:lvl>
    <w:lvl w:ilvl="8" w:tplc="04070005">
      <w:start w:val="1"/>
      <w:numFmt w:val="bullet"/>
      <w:lvlText w:val=""/>
      <w:lvlJc w:val="left"/>
      <w:pPr>
        <w:tabs>
          <w:tab w:val="num" w:pos="6840"/>
        </w:tabs>
        <w:ind w:left="6840" w:hanging="360"/>
      </w:pPr>
      <w:rPr>
        <w:rFonts w:ascii="Wingdings" w:hAnsi="Wingdings" w:hint="default"/>
      </w:rPr>
    </w:lvl>
  </w:abstractNum>
  <w:abstractNum w:abstractNumId="38">
    <w:nsid w:val="7E5D005C"/>
    <w:multiLevelType w:val="hybridMultilevel"/>
    <w:tmpl w:val="1390D5E4"/>
    <w:lvl w:ilvl="0" w:tplc="CEC032AA">
      <w:start w:val="2"/>
      <w:numFmt w:val="bullet"/>
      <w:lvlText w:val="-"/>
      <w:lvlJc w:val="left"/>
      <w:pPr>
        <w:tabs>
          <w:tab w:val="num" w:pos="360"/>
        </w:tabs>
        <w:ind w:left="360" w:hanging="360"/>
      </w:pPr>
      <w:rPr>
        <w:rFonts w:ascii="Times New Roman" w:eastAsia="Times New Roman" w:hAnsi="Times New Roman" w:cs="Times New Roman" w:hint="default"/>
      </w:rPr>
    </w:lvl>
    <w:lvl w:ilvl="1" w:tplc="04070003">
      <w:start w:val="1"/>
      <w:numFmt w:val="bullet"/>
      <w:lvlText w:val="o"/>
      <w:lvlJc w:val="left"/>
      <w:pPr>
        <w:tabs>
          <w:tab w:val="num" w:pos="732"/>
        </w:tabs>
        <w:ind w:left="732" w:hanging="360"/>
      </w:pPr>
      <w:rPr>
        <w:rFonts w:ascii="Courier New" w:hAnsi="Courier New" w:cs="Courier New" w:hint="default"/>
      </w:rPr>
    </w:lvl>
    <w:lvl w:ilvl="2" w:tplc="04070005">
      <w:start w:val="1"/>
      <w:numFmt w:val="bullet"/>
      <w:lvlText w:val=""/>
      <w:lvlJc w:val="left"/>
      <w:pPr>
        <w:tabs>
          <w:tab w:val="num" w:pos="1452"/>
        </w:tabs>
        <w:ind w:left="1452" w:hanging="360"/>
      </w:pPr>
      <w:rPr>
        <w:rFonts w:ascii="Wingdings" w:hAnsi="Wingdings" w:hint="default"/>
      </w:rPr>
    </w:lvl>
    <w:lvl w:ilvl="3" w:tplc="04070001">
      <w:start w:val="1"/>
      <w:numFmt w:val="bullet"/>
      <w:lvlText w:val=""/>
      <w:lvlJc w:val="left"/>
      <w:pPr>
        <w:tabs>
          <w:tab w:val="num" w:pos="2172"/>
        </w:tabs>
        <w:ind w:left="2172" w:hanging="360"/>
      </w:pPr>
      <w:rPr>
        <w:rFonts w:ascii="Symbol" w:hAnsi="Symbol" w:hint="default"/>
      </w:rPr>
    </w:lvl>
    <w:lvl w:ilvl="4" w:tplc="04070003">
      <w:start w:val="1"/>
      <w:numFmt w:val="bullet"/>
      <w:lvlText w:val="o"/>
      <w:lvlJc w:val="left"/>
      <w:pPr>
        <w:tabs>
          <w:tab w:val="num" w:pos="2892"/>
        </w:tabs>
        <w:ind w:left="2892" w:hanging="360"/>
      </w:pPr>
      <w:rPr>
        <w:rFonts w:ascii="Courier New" w:hAnsi="Courier New" w:cs="Courier New" w:hint="default"/>
      </w:rPr>
    </w:lvl>
    <w:lvl w:ilvl="5" w:tplc="04070005">
      <w:start w:val="1"/>
      <w:numFmt w:val="bullet"/>
      <w:lvlText w:val=""/>
      <w:lvlJc w:val="left"/>
      <w:pPr>
        <w:tabs>
          <w:tab w:val="num" w:pos="3612"/>
        </w:tabs>
        <w:ind w:left="3612" w:hanging="360"/>
      </w:pPr>
      <w:rPr>
        <w:rFonts w:ascii="Wingdings" w:hAnsi="Wingdings" w:hint="default"/>
      </w:rPr>
    </w:lvl>
    <w:lvl w:ilvl="6" w:tplc="04070001">
      <w:start w:val="1"/>
      <w:numFmt w:val="bullet"/>
      <w:lvlText w:val=""/>
      <w:lvlJc w:val="left"/>
      <w:pPr>
        <w:tabs>
          <w:tab w:val="num" w:pos="4332"/>
        </w:tabs>
        <w:ind w:left="4332" w:hanging="360"/>
      </w:pPr>
      <w:rPr>
        <w:rFonts w:ascii="Symbol" w:hAnsi="Symbol" w:hint="default"/>
      </w:rPr>
    </w:lvl>
    <w:lvl w:ilvl="7" w:tplc="04070003">
      <w:start w:val="1"/>
      <w:numFmt w:val="bullet"/>
      <w:lvlText w:val="o"/>
      <w:lvlJc w:val="left"/>
      <w:pPr>
        <w:tabs>
          <w:tab w:val="num" w:pos="5052"/>
        </w:tabs>
        <w:ind w:left="5052" w:hanging="360"/>
      </w:pPr>
      <w:rPr>
        <w:rFonts w:ascii="Courier New" w:hAnsi="Courier New" w:cs="Courier New" w:hint="default"/>
      </w:rPr>
    </w:lvl>
    <w:lvl w:ilvl="8" w:tplc="04070005">
      <w:start w:val="1"/>
      <w:numFmt w:val="bullet"/>
      <w:lvlText w:val=""/>
      <w:lvlJc w:val="left"/>
      <w:pPr>
        <w:tabs>
          <w:tab w:val="num" w:pos="5772"/>
        </w:tabs>
        <w:ind w:left="5772" w:hanging="360"/>
      </w:pPr>
      <w:rPr>
        <w:rFonts w:ascii="Wingdings" w:hAnsi="Wingdings" w:hint="default"/>
      </w:rPr>
    </w:lvl>
  </w:abstractNum>
  <w:num w:numId="1">
    <w:abstractNumId w:val="3"/>
  </w:num>
  <w:num w:numId="2">
    <w:abstractNumId w:val="13"/>
  </w:num>
  <w:num w:numId="3">
    <w:abstractNumId w:val="21"/>
  </w:num>
  <w:num w:numId="4">
    <w:abstractNumId w:val="32"/>
  </w:num>
  <w:num w:numId="5">
    <w:abstractNumId w:val="19"/>
  </w:num>
  <w:num w:numId="6">
    <w:abstractNumId w:val="28"/>
  </w:num>
  <w:num w:numId="7">
    <w:abstractNumId w:val="9"/>
  </w:num>
  <w:num w:numId="8">
    <w:abstractNumId w:val="35"/>
  </w:num>
  <w:num w:numId="9">
    <w:abstractNumId w:val="26"/>
  </w:num>
  <w:num w:numId="10">
    <w:abstractNumId w:val="1"/>
  </w:num>
  <w:num w:numId="11">
    <w:abstractNumId w:val="0"/>
  </w:num>
  <w:num w:numId="12">
    <w:abstractNumId w:val="12"/>
  </w:num>
  <w:num w:numId="13">
    <w:abstractNumId w:val="23"/>
  </w:num>
  <w:num w:numId="14">
    <w:abstractNumId w:val="4"/>
    <w:lvlOverride w:ilvl="0">
      <w:startOverride w:val="1"/>
    </w:lvlOverride>
  </w:num>
  <w:num w:numId="15">
    <w:abstractNumId w:val="17"/>
  </w:num>
  <w:num w:numId="16">
    <w:abstractNumId w:val="34"/>
  </w:num>
  <w:num w:numId="17">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33"/>
  </w:num>
  <w:num w:numId="20">
    <w:abstractNumId w:val="18"/>
  </w:num>
  <w:num w:numId="21">
    <w:abstractNumId w:val="37"/>
  </w:num>
  <w:num w:numId="22">
    <w:abstractNumId w:val="10"/>
  </w:num>
  <w:num w:numId="23">
    <w:abstractNumId w:val="16"/>
  </w:num>
  <w:num w:numId="24">
    <w:abstractNumId w:val="31"/>
  </w:num>
  <w:num w:numId="25">
    <w:abstractNumId w:val="38"/>
  </w:num>
  <w:num w:numId="26">
    <w:abstractNumId w:val="15"/>
  </w:num>
  <w:num w:numId="27">
    <w:abstractNumId w:val="6"/>
  </w:num>
  <w:num w:numId="28">
    <w:abstractNumId w:val="14"/>
  </w:num>
  <w:num w:numId="29">
    <w:abstractNumId w:val="24"/>
  </w:num>
  <w:num w:numId="30">
    <w:abstractNumId w:val="20"/>
  </w:num>
  <w:num w:numId="31">
    <w:abstractNumId w:val="5"/>
  </w:num>
  <w:num w:numId="32">
    <w:abstractNumId w:val="29"/>
  </w:num>
  <w:num w:numId="33">
    <w:abstractNumId w:val="22"/>
  </w:num>
  <w:num w:numId="34">
    <w:abstractNumId w:val="36"/>
  </w:num>
  <w:num w:numId="35">
    <w:abstractNumId w:val="25"/>
  </w:num>
  <w:num w:numId="36">
    <w:abstractNumId w:val="27"/>
  </w:num>
  <w:num w:numId="37">
    <w:abstractNumId w:val="2"/>
  </w:num>
  <w:num w:numId="38">
    <w:abstractNumId w:val="30"/>
  </w:num>
  <w:num w:numId="39">
    <w:abstractNumId w:val="11"/>
  </w:num>
  <w:num w:numId="40">
    <w:abstractNumId w:val="7"/>
  </w:num>
  <w:numIdMacAtCleanup w:val="4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hyphenationZone w:val="425"/>
  <w:drawingGridHorizontalSpacing w:val="110"/>
  <w:displayHorizontalDrawingGridEvery w:val="2"/>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4197E"/>
    <w:rsid w:val="000420D8"/>
    <w:rsid w:val="0004410E"/>
    <w:rsid w:val="000448A8"/>
    <w:rsid w:val="00070873"/>
    <w:rsid w:val="00082DDD"/>
    <w:rsid w:val="000D7400"/>
    <w:rsid w:val="00104885"/>
    <w:rsid w:val="00122301"/>
    <w:rsid w:val="00134673"/>
    <w:rsid w:val="00184986"/>
    <w:rsid w:val="001D3B7C"/>
    <w:rsid w:val="001D7306"/>
    <w:rsid w:val="001E7399"/>
    <w:rsid w:val="001F045B"/>
    <w:rsid w:val="002071E2"/>
    <w:rsid w:val="00207EE6"/>
    <w:rsid w:val="00274C38"/>
    <w:rsid w:val="0027676C"/>
    <w:rsid w:val="002B0D6C"/>
    <w:rsid w:val="002D4569"/>
    <w:rsid w:val="0032752D"/>
    <w:rsid w:val="00351DF6"/>
    <w:rsid w:val="00370529"/>
    <w:rsid w:val="00395D68"/>
    <w:rsid w:val="003A4769"/>
    <w:rsid w:val="003C25A1"/>
    <w:rsid w:val="003C44EB"/>
    <w:rsid w:val="003E2801"/>
    <w:rsid w:val="003E665D"/>
    <w:rsid w:val="003F23D2"/>
    <w:rsid w:val="00402FBD"/>
    <w:rsid w:val="00413466"/>
    <w:rsid w:val="00422E65"/>
    <w:rsid w:val="0044047B"/>
    <w:rsid w:val="0044197E"/>
    <w:rsid w:val="00460028"/>
    <w:rsid w:val="004668B4"/>
    <w:rsid w:val="004C2F5C"/>
    <w:rsid w:val="004E43E8"/>
    <w:rsid w:val="004F72F9"/>
    <w:rsid w:val="005207B2"/>
    <w:rsid w:val="00582569"/>
    <w:rsid w:val="005A79A1"/>
    <w:rsid w:val="005B2BD9"/>
    <w:rsid w:val="005C24F3"/>
    <w:rsid w:val="005D08CF"/>
    <w:rsid w:val="005F188D"/>
    <w:rsid w:val="006052C5"/>
    <w:rsid w:val="00675FFD"/>
    <w:rsid w:val="00681BC4"/>
    <w:rsid w:val="00691B22"/>
    <w:rsid w:val="006D1C64"/>
    <w:rsid w:val="0072093C"/>
    <w:rsid w:val="00721DBE"/>
    <w:rsid w:val="007578C8"/>
    <w:rsid w:val="00767FC6"/>
    <w:rsid w:val="00796BF5"/>
    <w:rsid w:val="007A25FA"/>
    <w:rsid w:val="007D251F"/>
    <w:rsid w:val="007E369F"/>
    <w:rsid w:val="007E43BC"/>
    <w:rsid w:val="00800D78"/>
    <w:rsid w:val="008136BC"/>
    <w:rsid w:val="00821CE7"/>
    <w:rsid w:val="00857962"/>
    <w:rsid w:val="008931CC"/>
    <w:rsid w:val="008B3CBD"/>
    <w:rsid w:val="00921872"/>
    <w:rsid w:val="00945E3E"/>
    <w:rsid w:val="009504E2"/>
    <w:rsid w:val="00956293"/>
    <w:rsid w:val="00985597"/>
    <w:rsid w:val="009928CF"/>
    <w:rsid w:val="009B28ED"/>
    <w:rsid w:val="009B30D7"/>
    <w:rsid w:val="009C22FA"/>
    <w:rsid w:val="009C3998"/>
    <w:rsid w:val="009D7A94"/>
    <w:rsid w:val="009E1230"/>
    <w:rsid w:val="009F55FD"/>
    <w:rsid w:val="00A13CBA"/>
    <w:rsid w:val="00A27A7A"/>
    <w:rsid w:val="00A3352D"/>
    <w:rsid w:val="00A6234F"/>
    <w:rsid w:val="00A750CA"/>
    <w:rsid w:val="00AA2A80"/>
    <w:rsid w:val="00AB2FA0"/>
    <w:rsid w:val="00AB5265"/>
    <w:rsid w:val="00AB5CAB"/>
    <w:rsid w:val="00AC0741"/>
    <w:rsid w:val="00AC2C6D"/>
    <w:rsid w:val="00AC4EAC"/>
    <w:rsid w:val="00AE3102"/>
    <w:rsid w:val="00AE5700"/>
    <w:rsid w:val="00AF615B"/>
    <w:rsid w:val="00B04E05"/>
    <w:rsid w:val="00B122F4"/>
    <w:rsid w:val="00B176A3"/>
    <w:rsid w:val="00B36C94"/>
    <w:rsid w:val="00B43C65"/>
    <w:rsid w:val="00B63B46"/>
    <w:rsid w:val="00B67FA6"/>
    <w:rsid w:val="00B70C4C"/>
    <w:rsid w:val="00B76755"/>
    <w:rsid w:val="00B91264"/>
    <w:rsid w:val="00C23159"/>
    <w:rsid w:val="00C36DAD"/>
    <w:rsid w:val="00C528B9"/>
    <w:rsid w:val="00C531DA"/>
    <w:rsid w:val="00C8750E"/>
    <w:rsid w:val="00C97FD2"/>
    <w:rsid w:val="00CB4864"/>
    <w:rsid w:val="00CC4B2D"/>
    <w:rsid w:val="00CD7575"/>
    <w:rsid w:val="00D05833"/>
    <w:rsid w:val="00D128D4"/>
    <w:rsid w:val="00D2145F"/>
    <w:rsid w:val="00D30727"/>
    <w:rsid w:val="00D52150"/>
    <w:rsid w:val="00D847AD"/>
    <w:rsid w:val="00DB585F"/>
    <w:rsid w:val="00DB6664"/>
    <w:rsid w:val="00DF19D5"/>
    <w:rsid w:val="00DF6EB4"/>
    <w:rsid w:val="00E0483F"/>
    <w:rsid w:val="00E1534B"/>
    <w:rsid w:val="00E22226"/>
    <w:rsid w:val="00E43798"/>
    <w:rsid w:val="00E50B08"/>
    <w:rsid w:val="00E711D8"/>
    <w:rsid w:val="00E73E4C"/>
    <w:rsid w:val="00EB198E"/>
    <w:rsid w:val="00EB22A4"/>
    <w:rsid w:val="00EC597E"/>
    <w:rsid w:val="00EE340C"/>
    <w:rsid w:val="00EE3BAA"/>
    <w:rsid w:val="00F46430"/>
    <w:rsid w:val="00F53DB6"/>
    <w:rsid w:val="00F81A79"/>
    <w:rsid w:val="00F9544D"/>
    <w:rsid w:val="00FC3BBD"/>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14:docId w14:val="44325E3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caption" w:semiHidden="1" w:unhideWhenUsed="1" w:qFormat="1"/>
    <w:lsdException w:name="table of figures" w:uiPriority="99"/>
    <w:lsdException w:name="Title" w:qFormat="1"/>
    <w:lsdException w:name="Default Paragraph Font" w:uiPriority="1"/>
    <w:lsdException w:name="Body Text" w:qFormat="1"/>
    <w:lsdException w:name="Subtitle" w:qFormat="1"/>
    <w:lsdException w:name="Hyperlink" w:uiPriority="99"/>
    <w:lsdException w:name="Strong" w:qFormat="1"/>
    <w:lsdException w:name="Emphasis" w:qFormat="1"/>
    <w:lsdException w:name="No List" w:uiPriority="99"/>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lsdException w:name="Quote"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atentStyles>
  <w:style w:type="paragraph" w:default="1" w:styleId="Normal">
    <w:name w:val="Normal"/>
    <w:qFormat/>
    <w:rsid w:val="005B2BD9"/>
    <w:rPr>
      <w:rFonts w:ascii="Arial" w:hAnsi="Arial"/>
      <w:sz w:val="22"/>
      <w:szCs w:val="24"/>
      <w:lang w:eastAsia="en-US"/>
    </w:rPr>
  </w:style>
  <w:style w:type="paragraph" w:styleId="Heading1">
    <w:name w:val="heading 1"/>
    <w:basedOn w:val="Normal"/>
    <w:next w:val="BodyText"/>
    <w:qFormat/>
    <w:rsid w:val="00DF6EB4"/>
    <w:pPr>
      <w:keepNext/>
      <w:numPr>
        <w:numId w:val="7"/>
      </w:numPr>
      <w:spacing w:before="240" w:after="240"/>
      <w:outlineLvl w:val="0"/>
    </w:pPr>
    <w:rPr>
      <w:b/>
      <w:caps/>
      <w:kern w:val="28"/>
      <w:sz w:val="24"/>
      <w:szCs w:val="20"/>
      <w:lang w:eastAsia="de-DE"/>
    </w:rPr>
  </w:style>
  <w:style w:type="paragraph" w:styleId="Heading2">
    <w:name w:val="heading 2"/>
    <w:basedOn w:val="Normal"/>
    <w:next w:val="BodyText"/>
    <w:qFormat/>
    <w:rsid w:val="00DF6EB4"/>
    <w:pPr>
      <w:numPr>
        <w:ilvl w:val="1"/>
        <w:numId w:val="7"/>
      </w:numPr>
      <w:spacing w:before="120" w:after="120"/>
      <w:outlineLvl w:val="1"/>
    </w:pPr>
    <w:rPr>
      <w:b/>
    </w:rPr>
  </w:style>
  <w:style w:type="paragraph" w:styleId="Heading3">
    <w:name w:val="heading 3"/>
    <w:basedOn w:val="Normal"/>
    <w:next w:val="Normal"/>
    <w:qFormat/>
    <w:rsid w:val="00DF6EB4"/>
    <w:pPr>
      <w:keepNext/>
      <w:numPr>
        <w:ilvl w:val="2"/>
        <w:numId w:val="7"/>
      </w:numPr>
      <w:tabs>
        <w:tab w:val="left" w:pos="851"/>
      </w:tabs>
      <w:spacing w:before="120" w:after="120"/>
      <w:outlineLvl w:val="2"/>
    </w:pPr>
    <w:rPr>
      <w:szCs w:val="20"/>
      <w:lang w:eastAsia="de-DE"/>
    </w:rPr>
  </w:style>
  <w:style w:type="paragraph" w:styleId="Heading4">
    <w:name w:val="heading 4"/>
    <w:basedOn w:val="Normal"/>
    <w:next w:val="Normal"/>
    <w:qFormat/>
    <w:rsid w:val="00DF6EB4"/>
    <w:pPr>
      <w:keepNext/>
      <w:numPr>
        <w:ilvl w:val="3"/>
        <w:numId w:val="7"/>
      </w:numPr>
      <w:spacing w:before="120" w:after="120"/>
      <w:outlineLvl w:val="3"/>
    </w:pPr>
    <w:rPr>
      <w:szCs w:val="20"/>
      <w:lang w:val="en-US" w:eastAsia="de-DE"/>
    </w:rPr>
  </w:style>
  <w:style w:type="paragraph" w:styleId="Heading5">
    <w:name w:val="heading 5"/>
    <w:aliases w:val="H5,H51,H52,H511,H53,H512,H54,H513,H521,H5111,H55,H514,H522,H5112,H531,H5121,H5211,H51111,H541,H5131"/>
    <w:basedOn w:val="Normal"/>
    <w:next w:val="Normal"/>
    <w:qFormat/>
    <w:rsid w:val="00DF6EB4"/>
    <w:pPr>
      <w:numPr>
        <w:ilvl w:val="4"/>
        <w:numId w:val="7"/>
      </w:numPr>
      <w:spacing w:before="240" w:after="60"/>
      <w:outlineLvl w:val="4"/>
    </w:pPr>
    <w:rPr>
      <w:szCs w:val="20"/>
      <w:lang w:val="de-DE" w:eastAsia="de-DE"/>
    </w:rPr>
  </w:style>
  <w:style w:type="paragraph" w:styleId="Heading6">
    <w:name w:val="heading 6"/>
    <w:basedOn w:val="Normal"/>
    <w:next w:val="Normal"/>
    <w:qFormat/>
    <w:rsid w:val="00DF6EB4"/>
    <w:pPr>
      <w:numPr>
        <w:ilvl w:val="5"/>
        <w:numId w:val="7"/>
      </w:numPr>
      <w:spacing w:before="240" w:after="60"/>
      <w:outlineLvl w:val="5"/>
    </w:pPr>
    <w:rPr>
      <w:i/>
      <w:szCs w:val="20"/>
      <w:lang w:val="de-DE" w:eastAsia="de-DE"/>
    </w:rPr>
  </w:style>
  <w:style w:type="paragraph" w:styleId="Heading7">
    <w:name w:val="heading 7"/>
    <w:basedOn w:val="Normal"/>
    <w:next w:val="Normal"/>
    <w:qFormat/>
    <w:rsid w:val="00DF6EB4"/>
    <w:pPr>
      <w:numPr>
        <w:ilvl w:val="6"/>
        <w:numId w:val="7"/>
      </w:numPr>
      <w:spacing w:before="240" w:after="60"/>
      <w:outlineLvl w:val="6"/>
    </w:pPr>
    <w:rPr>
      <w:szCs w:val="20"/>
      <w:lang w:val="de-DE" w:eastAsia="de-DE"/>
    </w:rPr>
  </w:style>
  <w:style w:type="paragraph" w:styleId="Heading8">
    <w:name w:val="heading 8"/>
    <w:basedOn w:val="Normal"/>
    <w:next w:val="Normal"/>
    <w:qFormat/>
    <w:rsid w:val="00DF6EB4"/>
    <w:pPr>
      <w:numPr>
        <w:ilvl w:val="7"/>
        <w:numId w:val="7"/>
      </w:numPr>
      <w:spacing w:before="240" w:after="60"/>
      <w:outlineLvl w:val="7"/>
    </w:pPr>
    <w:rPr>
      <w:i/>
      <w:szCs w:val="20"/>
      <w:lang w:val="de-DE" w:eastAsia="de-DE"/>
    </w:rPr>
  </w:style>
  <w:style w:type="paragraph" w:styleId="Heading9">
    <w:name w:val="heading 9"/>
    <w:basedOn w:val="Normal"/>
    <w:next w:val="Normal"/>
    <w:qFormat/>
    <w:rsid w:val="00DF6EB4"/>
    <w:pPr>
      <w:numPr>
        <w:ilvl w:val="8"/>
        <w:numId w:val="7"/>
      </w:numPr>
      <w:spacing w:before="240" w:after="60"/>
      <w:outlineLvl w:val="8"/>
    </w:pPr>
    <w:rPr>
      <w:b/>
      <w:i/>
      <w:sz w:val="18"/>
      <w:szCs w:val="20"/>
      <w:lang w:val="de-DE"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qFormat/>
    <w:rsid w:val="00DF6EB4"/>
    <w:pPr>
      <w:spacing w:after="120"/>
      <w:jc w:val="both"/>
    </w:pPr>
  </w:style>
  <w:style w:type="paragraph" w:styleId="FootnoteText">
    <w:name w:val="footnote text"/>
    <w:basedOn w:val="Normal"/>
    <w:link w:val="FootnoteTextChar"/>
    <w:semiHidden/>
    <w:rsid w:val="00DF6EB4"/>
    <w:rPr>
      <w:sz w:val="20"/>
      <w:szCs w:val="20"/>
    </w:rPr>
  </w:style>
  <w:style w:type="character" w:styleId="FootnoteReference">
    <w:name w:val="footnote reference"/>
    <w:semiHidden/>
    <w:rsid w:val="00DF6EB4"/>
    <w:rPr>
      <w:vertAlign w:val="superscript"/>
    </w:rPr>
  </w:style>
  <w:style w:type="paragraph" w:styleId="Header">
    <w:name w:val="header"/>
    <w:basedOn w:val="Normal"/>
    <w:rsid w:val="00AB2FA0"/>
    <w:pPr>
      <w:tabs>
        <w:tab w:val="center" w:pos="4678"/>
        <w:tab w:val="right" w:pos="9356"/>
      </w:tabs>
    </w:pPr>
  </w:style>
  <w:style w:type="paragraph" w:styleId="Quote">
    <w:name w:val="Quote"/>
    <w:basedOn w:val="Normal"/>
    <w:rsid w:val="00DF6EB4"/>
    <w:pPr>
      <w:spacing w:before="60" w:after="60"/>
      <w:ind w:left="567" w:right="935"/>
      <w:jc w:val="both"/>
    </w:pPr>
    <w:rPr>
      <w:i/>
    </w:rPr>
  </w:style>
  <w:style w:type="paragraph" w:styleId="ListBullet">
    <w:name w:val="List Bullet"/>
    <w:basedOn w:val="Normal"/>
    <w:autoRedefine/>
    <w:rsid w:val="00DF6EB4"/>
    <w:pPr>
      <w:spacing w:before="60" w:after="80"/>
      <w:ind w:left="354"/>
    </w:pPr>
  </w:style>
  <w:style w:type="paragraph" w:styleId="Title">
    <w:name w:val="Title"/>
    <w:basedOn w:val="Normal"/>
    <w:qFormat/>
    <w:rsid w:val="00DF6EB4"/>
    <w:pPr>
      <w:spacing w:before="180" w:after="60"/>
      <w:jc w:val="center"/>
      <w:outlineLvl w:val="0"/>
    </w:pPr>
    <w:rPr>
      <w:rFonts w:cs="Arial"/>
      <w:b/>
      <w:bCs/>
      <w:kern w:val="28"/>
      <w:sz w:val="32"/>
      <w:szCs w:val="32"/>
    </w:rPr>
  </w:style>
  <w:style w:type="paragraph" w:styleId="Footer">
    <w:name w:val="footer"/>
    <w:basedOn w:val="Normal"/>
    <w:rsid w:val="00AB2FA0"/>
    <w:pPr>
      <w:tabs>
        <w:tab w:val="center" w:pos="4820"/>
        <w:tab w:val="right" w:pos="9356"/>
      </w:tabs>
    </w:pPr>
  </w:style>
  <w:style w:type="character" w:styleId="PageNumber">
    <w:name w:val="page number"/>
    <w:rsid w:val="00DF6EB4"/>
    <w:rPr>
      <w:rFonts w:ascii="Arial" w:hAnsi="Arial"/>
      <w:sz w:val="20"/>
    </w:rPr>
  </w:style>
  <w:style w:type="paragraph" w:styleId="BodyText2">
    <w:name w:val="Body Text 2"/>
    <w:basedOn w:val="Normal"/>
    <w:rsid w:val="00DF6EB4"/>
    <w:pPr>
      <w:autoSpaceDE w:val="0"/>
      <w:autoSpaceDN w:val="0"/>
      <w:adjustRightInd w:val="0"/>
      <w:spacing w:before="180"/>
      <w:ind w:left="720"/>
    </w:pPr>
    <w:rPr>
      <w:color w:val="000000"/>
    </w:rPr>
  </w:style>
  <w:style w:type="numbering" w:styleId="ArticleSection">
    <w:name w:val="Outline List 3"/>
    <w:basedOn w:val="NoList"/>
    <w:rsid w:val="00DF6EB4"/>
    <w:pPr>
      <w:numPr>
        <w:numId w:val="2"/>
      </w:numPr>
    </w:pPr>
  </w:style>
  <w:style w:type="paragraph" w:styleId="BodyText3">
    <w:name w:val="Body Text 3"/>
    <w:basedOn w:val="Normal"/>
    <w:rsid w:val="00DF6EB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ind w:left="720"/>
    </w:pPr>
    <w:rPr>
      <w:bCs/>
      <w:i/>
      <w:iCs/>
    </w:rPr>
  </w:style>
  <w:style w:type="paragraph" w:styleId="Subtitle">
    <w:name w:val="Subtitle"/>
    <w:basedOn w:val="Normal"/>
    <w:qFormat/>
    <w:rsid w:val="00DF6EB4"/>
    <w:pPr>
      <w:spacing w:after="60"/>
      <w:jc w:val="center"/>
      <w:outlineLvl w:val="1"/>
    </w:pPr>
    <w:rPr>
      <w:rFonts w:cs="Arial"/>
      <w:b/>
      <w:sz w:val="28"/>
      <w:szCs w:val="28"/>
    </w:rPr>
  </w:style>
  <w:style w:type="paragraph" w:styleId="TOC1">
    <w:name w:val="toc 1"/>
    <w:basedOn w:val="Normal"/>
    <w:next w:val="Normal"/>
    <w:autoRedefine/>
    <w:uiPriority w:val="39"/>
    <w:rsid w:val="00DF6EB4"/>
    <w:pPr>
      <w:tabs>
        <w:tab w:val="left" w:pos="567"/>
        <w:tab w:val="right" w:pos="9639"/>
      </w:tabs>
      <w:spacing w:before="120"/>
      <w:ind w:left="567" w:right="142" w:hanging="567"/>
      <w:jc w:val="both"/>
    </w:pPr>
    <w:rPr>
      <w:rFonts w:cs="Arial"/>
      <w:b/>
      <w:bCs/>
      <w:caps/>
    </w:rPr>
  </w:style>
  <w:style w:type="paragraph" w:styleId="TOC2">
    <w:name w:val="toc 2"/>
    <w:basedOn w:val="Normal"/>
    <w:next w:val="Normal"/>
    <w:autoRedefine/>
    <w:uiPriority w:val="39"/>
    <w:rsid w:val="0044197E"/>
    <w:pPr>
      <w:tabs>
        <w:tab w:val="left" w:pos="851"/>
        <w:tab w:val="right" w:pos="9639"/>
      </w:tabs>
      <w:spacing w:before="120" w:after="120"/>
      <w:ind w:left="851" w:hanging="851"/>
    </w:pPr>
    <w:rPr>
      <w:bCs/>
      <w:szCs w:val="20"/>
    </w:rPr>
  </w:style>
  <w:style w:type="paragraph" w:styleId="TOC3">
    <w:name w:val="toc 3"/>
    <w:basedOn w:val="Normal"/>
    <w:next w:val="Normal"/>
    <w:autoRedefine/>
    <w:uiPriority w:val="39"/>
    <w:rsid w:val="0044197E"/>
    <w:pPr>
      <w:tabs>
        <w:tab w:val="left" w:pos="1701"/>
        <w:tab w:val="right" w:pos="9639"/>
      </w:tabs>
      <w:ind w:left="1701" w:hanging="850"/>
    </w:pPr>
    <w:rPr>
      <w:sz w:val="20"/>
      <w:szCs w:val="20"/>
    </w:rPr>
  </w:style>
  <w:style w:type="paragraph" w:styleId="TOC4">
    <w:name w:val="toc 4"/>
    <w:basedOn w:val="Normal"/>
    <w:next w:val="Normal"/>
    <w:autoRedefine/>
    <w:uiPriority w:val="39"/>
    <w:rsid w:val="00DF6EB4"/>
    <w:pPr>
      <w:tabs>
        <w:tab w:val="left" w:pos="1701"/>
        <w:tab w:val="right" w:pos="9639"/>
      </w:tabs>
      <w:spacing w:before="240" w:after="240"/>
      <w:ind w:left="1701" w:hanging="1701"/>
    </w:pPr>
    <w:rPr>
      <w:rFonts w:ascii="Calibri" w:hAnsi="Calibri"/>
      <w:b/>
      <w:noProof/>
      <w:szCs w:val="22"/>
      <w:lang w:eastAsia="en-GB"/>
    </w:rPr>
  </w:style>
  <w:style w:type="paragraph" w:styleId="TOC5">
    <w:name w:val="toc 5"/>
    <w:basedOn w:val="Normal"/>
    <w:next w:val="Normal"/>
    <w:autoRedefine/>
    <w:uiPriority w:val="39"/>
    <w:rsid w:val="001F045B"/>
    <w:pPr>
      <w:tabs>
        <w:tab w:val="left" w:pos="1985"/>
        <w:tab w:val="right" w:pos="9639"/>
      </w:tabs>
      <w:spacing w:before="120" w:after="120"/>
      <w:ind w:left="1985" w:hanging="1985"/>
    </w:pPr>
    <w:rPr>
      <w:b/>
      <w:szCs w:val="20"/>
    </w:rPr>
  </w:style>
  <w:style w:type="paragraph" w:styleId="TOC6">
    <w:name w:val="toc 6"/>
    <w:basedOn w:val="Normal"/>
    <w:next w:val="Normal"/>
    <w:autoRedefine/>
    <w:semiHidden/>
    <w:rsid w:val="00DF6EB4"/>
    <w:pPr>
      <w:ind w:left="960"/>
    </w:pPr>
    <w:rPr>
      <w:sz w:val="20"/>
      <w:szCs w:val="20"/>
    </w:rPr>
  </w:style>
  <w:style w:type="paragraph" w:styleId="TOC7">
    <w:name w:val="toc 7"/>
    <w:basedOn w:val="Normal"/>
    <w:next w:val="Normal"/>
    <w:autoRedefine/>
    <w:semiHidden/>
    <w:rsid w:val="00DF6EB4"/>
    <w:pPr>
      <w:ind w:left="1200"/>
    </w:pPr>
    <w:rPr>
      <w:sz w:val="20"/>
      <w:szCs w:val="20"/>
    </w:rPr>
  </w:style>
  <w:style w:type="paragraph" w:styleId="TOC8">
    <w:name w:val="toc 8"/>
    <w:basedOn w:val="Normal"/>
    <w:next w:val="Normal"/>
    <w:autoRedefine/>
    <w:semiHidden/>
    <w:rsid w:val="00DF6EB4"/>
    <w:pPr>
      <w:ind w:left="1440"/>
    </w:pPr>
    <w:rPr>
      <w:sz w:val="20"/>
      <w:szCs w:val="20"/>
    </w:rPr>
  </w:style>
  <w:style w:type="paragraph" w:styleId="TOC9">
    <w:name w:val="toc 9"/>
    <w:basedOn w:val="Normal"/>
    <w:next w:val="Normal"/>
    <w:autoRedefine/>
    <w:semiHidden/>
    <w:rsid w:val="00DF6EB4"/>
    <w:pPr>
      <w:ind w:left="1680"/>
    </w:pPr>
    <w:rPr>
      <w:sz w:val="20"/>
      <w:szCs w:val="20"/>
    </w:rPr>
  </w:style>
  <w:style w:type="character" w:styleId="Hyperlink">
    <w:name w:val="Hyperlink"/>
    <w:uiPriority w:val="99"/>
    <w:rsid w:val="00DF6EB4"/>
    <w:rPr>
      <w:color w:val="0000FF"/>
      <w:u w:val="single"/>
    </w:rPr>
  </w:style>
  <w:style w:type="paragraph" w:customStyle="1" w:styleId="THECOUNCIL">
    <w:name w:val="THE COUNCIL"/>
    <w:basedOn w:val="BodyText"/>
    <w:rsid w:val="00DF6EB4"/>
    <w:rPr>
      <w:b/>
      <w:sz w:val="28"/>
    </w:rPr>
  </w:style>
  <w:style w:type="paragraph" w:customStyle="1" w:styleId="Recallings">
    <w:name w:val="Recallings"/>
    <w:basedOn w:val="BodyText"/>
    <w:rsid w:val="00DF6EB4"/>
    <w:pPr>
      <w:spacing w:before="240"/>
      <w:ind w:left="425"/>
    </w:pPr>
    <w:rPr>
      <w:rFonts w:cs="Arial"/>
    </w:rPr>
  </w:style>
  <w:style w:type="paragraph" w:customStyle="1" w:styleId="RecommendsNo">
    <w:name w:val="Recommends No"/>
    <w:basedOn w:val="Normal"/>
    <w:rsid w:val="00DF6EB4"/>
    <w:pPr>
      <w:ind w:left="1145" w:right="-45" w:hanging="720"/>
      <w:jc w:val="both"/>
    </w:pPr>
  </w:style>
  <w:style w:type="paragraph" w:styleId="ListNumber">
    <w:name w:val="List Number"/>
    <w:basedOn w:val="Normal"/>
    <w:rsid w:val="00DF6EB4"/>
    <w:pPr>
      <w:numPr>
        <w:numId w:val="10"/>
      </w:numPr>
    </w:pPr>
  </w:style>
  <w:style w:type="paragraph" w:styleId="ListNumber2">
    <w:name w:val="List Number 2"/>
    <w:basedOn w:val="Normal"/>
    <w:rsid w:val="00DF6EB4"/>
    <w:pPr>
      <w:numPr>
        <w:numId w:val="11"/>
      </w:numPr>
    </w:pPr>
  </w:style>
  <w:style w:type="paragraph" w:styleId="BodyTextIndent">
    <w:name w:val="Body Text Indent"/>
    <w:basedOn w:val="Normal"/>
    <w:rsid w:val="00DF6EB4"/>
    <w:pPr>
      <w:spacing w:after="120"/>
      <w:ind w:left="360"/>
    </w:pPr>
  </w:style>
  <w:style w:type="paragraph" w:styleId="BodyTextFirstIndent2">
    <w:name w:val="Body Text First Indent 2"/>
    <w:aliases w:val="Body Text Second Indent"/>
    <w:basedOn w:val="Normal"/>
    <w:rsid w:val="00DF6EB4"/>
    <w:pPr>
      <w:ind w:left="720"/>
      <w:jc w:val="both"/>
    </w:pPr>
    <w:rPr>
      <w:lang w:val="en-US"/>
    </w:rPr>
  </w:style>
  <w:style w:type="paragraph" w:styleId="BodyTextIndent2">
    <w:name w:val="Body Text Indent 2"/>
    <w:basedOn w:val="Normal"/>
    <w:link w:val="BodyTextIndent2Char"/>
    <w:rsid w:val="00DF6EB4"/>
    <w:pPr>
      <w:spacing w:after="120"/>
      <w:ind w:left="1134"/>
      <w:jc w:val="both"/>
    </w:pPr>
    <w:rPr>
      <w:lang w:eastAsia="de-DE"/>
    </w:rPr>
  </w:style>
  <w:style w:type="paragraph" w:styleId="BodyTextFirstIndent">
    <w:name w:val="Body Text First Indent"/>
    <w:basedOn w:val="Normal"/>
    <w:rsid w:val="00DF6EB4"/>
    <w:pPr>
      <w:spacing w:after="120"/>
      <w:ind w:left="851"/>
      <w:jc w:val="both"/>
    </w:pPr>
  </w:style>
  <w:style w:type="paragraph" w:customStyle="1" w:styleId="Bullet1">
    <w:name w:val="Bullet 1"/>
    <w:basedOn w:val="Normal"/>
    <w:qFormat/>
    <w:rsid w:val="003C44EB"/>
    <w:pPr>
      <w:numPr>
        <w:numId w:val="3"/>
      </w:numPr>
      <w:tabs>
        <w:tab w:val="clear" w:pos="720"/>
        <w:tab w:val="num" w:pos="993"/>
      </w:tabs>
      <w:spacing w:before="60" w:after="60"/>
      <w:ind w:left="993" w:hanging="426"/>
      <w:jc w:val="both"/>
      <w:outlineLvl w:val="0"/>
    </w:pPr>
    <w:rPr>
      <w:rFonts w:eastAsia="Times"/>
      <w:szCs w:val="20"/>
      <w:lang w:eastAsia="en-GB"/>
    </w:rPr>
  </w:style>
  <w:style w:type="paragraph" w:customStyle="1" w:styleId="Bullet1text">
    <w:name w:val="Bullet 1 text"/>
    <w:basedOn w:val="Normal"/>
    <w:qFormat/>
    <w:rsid w:val="00DF6EB4"/>
    <w:pPr>
      <w:suppressAutoHyphens/>
      <w:spacing w:after="120"/>
      <w:ind w:left="1134"/>
      <w:jc w:val="both"/>
    </w:pPr>
    <w:rPr>
      <w:szCs w:val="20"/>
      <w:lang w:eastAsia="en-GB"/>
    </w:rPr>
  </w:style>
  <w:style w:type="paragraph" w:customStyle="1" w:styleId="Bullet2">
    <w:name w:val="Bullet 2"/>
    <w:basedOn w:val="Normal"/>
    <w:qFormat/>
    <w:rsid w:val="003C44EB"/>
    <w:pPr>
      <w:numPr>
        <w:numId w:val="14"/>
      </w:numPr>
      <w:tabs>
        <w:tab w:val="left" w:pos="1418"/>
      </w:tabs>
      <w:spacing w:after="120"/>
      <w:ind w:left="1418" w:hanging="425"/>
    </w:pPr>
    <w:rPr>
      <w:sz w:val="20"/>
      <w:szCs w:val="20"/>
      <w:lang w:eastAsia="en-GB"/>
    </w:rPr>
  </w:style>
  <w:style w:type="paragraph" w:customStyle="1" w:styleId="Bullet2text">
    <w:name w:val="Bullet 2 text"/>
    <w:basedOn w:val="Normal"/>
    <w:rsid w:val="00E22226"/>
    <w:pPr>
      <w:suppressAutoHyphens/>
      <w:spacing w:after="120"/>
      <w:ind w:left="1418"/>
      <w:jc w:val="both"/>
    </w:pPr>
    <w:rPr>
      <w:sz w:val="20"/>
      <w:szCs w:val="20"/>
      <w:lang w:eastAsia="en-GB"/>
    </w:rPr>
  </w:style>
  <w:style w:type="paragraph" w:customStyle="1" w:styleId="Bullet3">
    <w:name w:val="Bullet 3"/>
    <w:basedOn w:val="Bullet2"/>
    <w:rsid w:val="00E22226"/>
    <w:pPr>
      <w:numPr>
        <w:numId w:val="4"/>
      </w:numPr>
      <w:tabs>
        <w:tab w:val="clear" w:pos="1418"/>
        <w:tab w:val="left" w:pos="1843"/>
      </w:tabs>
    </w:pPr>
  </w:style>
  <w:style w:type="paragraph" w:customStyle="1" w:styleId="Bullet3text">
    <w:name w:val="Bullet 3 text"/>
    <w:basedOn w:val="Normal"/>
    <w:autoRedefine/>
    <w:rsid w:val="00E22226"/>
    <w:pPr>
      <w:suppressAutoHyphens/>
      <w:spacing w:after="120"/>
      <w:ind w:left="1843"/>
      <w:jc w:val="both"/>
    </w:pPr>
    <w:rPr>
      <w:sz w:val="20"/>
      <w:szCs w:val="20"/>
      <w:lang w:eastAsia="en-GB"/>
    </w:rPr>
  </w:style>
  <w:style w:type="paragraph" w:customStyle="1" w:styleId="Figure">
    <w:name w:val="Figure_#"/>
    <w:basedOn w:val="Normal"/>
    <w:next w:val="Normal"/>
    <w:qFormat/>
    <w:rsid w:val="00DF6EB4"/>
    <w:pPr>
      <w:numPr>
        <w:numId w:val="6"/>
      </w:numPr>
      <w:spacing w:before="120" w:after="120"/>
      <w:jc w:val="center"/>
    </w:pPr>
    <w:rPr>
      <w:i/>
      <w:szCs w:val="20"/>
      <w:lang w:eastAsia="en-GB"/>
    </w:rPr>
  </w:style>
  <w:style w:type="paragraph" w:customStyle="1" w:styleId="List1">
    <w:name w:val="List 1"/>
    <w:basedOn w:val="Normal"/>
    <w:qFormat/>
    <w:rsid w:val="00DF6EB4"/>
    <w:pPr>
      <w:numPr>
        <w:numId w:val="8"/>
      </w:numPr>
      <w:spacing w:after="120"/>
      <w:jc w:val="both"/>
    </w:pPr>
    <w:rPr>
      <w:szCs w:val="20"/>
      <w:lang w:eastAsia="en-GB"/>
    </w:rPr>
  </w:style>
  <w:style w:type="paragraph" w:customStyle="1" w:styleId="List1indent">
    <w:name w:val="List 1 indent"/>
    <w:basedOn w:val="Normal"/>
    <w:qFormat/>
    <w:rsid w:val="00DF6EB4"/>
    <w:pPr>
      <w:numPr>
        <w:ilvl w:val="1"/>
        <w:numId w:val="8"/>
      </w:numPr>
      <w:spacing w:after="120"/>
      <w:jc w:val="both"/>
    </w:pPr>
    <w:rPr>
      <w:szCs w:val="20"/>
      <w:lang w:eastAsia="en-GB"/>
    </w:rPr>
  </w:style>
  <w:style w:type="paragraph" w:customStyle="1" w:styleId="List1indent2">
    <w:name w:val="List 1 indent 2"/>
    <w:basedOn w:val="Normal"/>
    <w:qFormat/>
    <w:rsid w:val="00DF6EB4"/>
    <w:pPr>
      <w:numPr>
        <w:ilvl w:val="2"/>
        <w:numId w:val="9"/>
      </w:numPr>
      <w:spacing w:after="120"/>
      <w:jc w:val="both"/>
    </w:pPr>
    <w:rPr>
      <w:sz w:val="20"/>
      <w:szCs w:val="20"/>
      <w:lang w:eastAsia="en-GB"/>
    </w:rPr>
  </w:style>
  <w:style w:type="paragraph" w:customStyle="1" w:styleId="List1indent2text">
    <w:name w:val="List 1 indent 2 text"/>
    <w:basedOn w:val="Normal"/>
    <w:rsid w:val="00DF6EB4"/>
    <w:pPr>
      <w:spacing w:after="120"/>
      <w:ind w:left="1701"/>
      <w:jc w:val="both"/>
    </w:pPr>
    <w:rPr>
      <w:sz w:val="20"/>
      <w:szCs w:val="20"/>
      <w:lang w:eastAsia="en-GB"/>
    </w:rPr>
  </w:style>
  <w:style w:type="paragraph" w:customStyle="1" w:styleId="List1indenttext">
    <w:name w:val="List 1 indent text"/>
    <w:basedOn w:val="Normal"/>
    <w:rsid w:val="00DF6EB4"/>
    <w:pPr>
      <w:spacing w:after="120"/>
      <w:ind w:left="1134"/>
      <w:jc w:val="both"/>
    </w:pPr>
    <w:rPr>
      <w:szCs w:val="20"/>
      <w:lang w:eastAsia="en-GB"/>
    </w:rPr>
  </w:style>
  <w:style w:type="paragraph" w:customStyle="1" w:styleId="List1text">
    <w:name w:val="List 1 text"/>
    <w:basedOn w:val="Normal"/>
    <w:rsid w:val="00DF6EB4"/>
    <w:pPr>
      <w:spacing w:after="120"/>
      <w:ind w:left="567"/>
      <w:jc w:val="both"/>
    </w:pPr>
    <w:rPr>
      <w:szCs w:val="20"/>
      <w:lang w:eastAsia="en-GB"/>
    </w:rPr>
  </w:style>
  <w:style w:type="character" w:customStyle="1" w:styleId="StyleFootnoteReference115ptBlack">
    <w:name w:val="Style Footnote Reference + 11.5 pt Black"/>
    <w:rsid w:val="00DF6EB4"/>
    <w:rPr>
      <w:rFonts w:ascii="Arial" w:hAnsi="Arial"/>
      <w:color w:val="000000"/>
      <w:sz w:val="23"/>
      <w:vertAlign w:val="superscript"/>
    </w:rPr>
  </w:style>
  <w:style w:type="paragraph" w:customStyle="1" w:styleId="Table">
    <w:name w:val="Table_#"/>
    <w:basedOn w:val="Normal"/>
    <w:next w:val="Normal"/>
    <w:qFormat/>
    <w:rsid w:val="00DF6EB4"/>
    <w:pPr>
      <w:numPr>
        <w:numId w:val="13"/>
      </w:numPr>
      <w:spacing w:before="120" w:after="120"/>
      <w:jc w:val="center"/>
    </w:pPr>
    <w:rPr>
      <w:i/>
      <w:szCs w:val="20"/>
      <w:lang w:eastAsia="en-GB"/>
    </w:rPr>
  </w:style>
  <w:style w:type="paragraph" w:styleId="BalloonText">
    <w:name w:val="Balloon Text"/>
    <w:basedOn w:val="Normal"/>
    <w:link w:val="BalloonTextChar"/>
    <w:rsid w:val="00DF6EB4"/>
    <w:rPr>
      <w:rFonts w:ascii="Tahoma" w:hAnsi="Tahoma" w:cs="Tahoma"/>
      <w:sz w:val="16"/>
      <w:szCs w:val="16"/>
    </w:rPr>
  </w:style>
  <w:style w:type="character" w:customStyle="1" w:styleId="BalloonTextChar">
    <w:name w:val="Balloon Text Char"/>
    <w:link w:val="BalloonText"/>
    <w:rsid w:val="004668B4"/>
    <w:rPr>
      <w:rFonts w:ascii="Tahoma" w:hAnsi="Tahoma" w:cs="Tahoma"/>
      <w:sz w:val="16"/>
      <w:szCs w:val="16"/>
      <w:lang w:eastAsia="en-US"/>
    </w:rPr>
  </w:style>
  <w:style w:type="paragraph" w:styleId="BlockText">
    <w:name w:val="Block Text"/>
    <w:basedOn w:val="Normal"/>
    <w:rsid w:val="00DF6EB4"/>
    <w:pPr>
      <w:spacing w:after="120"/>
      <w:ind w:left="1440" w:right="1440"/>
      <w:jc w:val="center"/>
    </w:pPr>
    <w:rPr>
      <w:b/>
      <w:sz w:val="28"/>
      <w:szCs w:val="28"/>
    </w:rPr>
  </w:style>
  <w:style w:type="character" w:styleId="CommentReference">
    <w:name w:val="annotation reference"/>
    <w:rsid w:val="00DF6EB4"/>
    <w:rPr>
      <w:sz w:val="16"/>
      <w:szCs w:val="16"/>
    </w:rPr>
  </w:style>
  <w:style w:type="paragraph" w:styleId="CommentText">
    <w:name w:val="annotation text"/>
    <w:basedOn w:val="Normal"/>
    <w:link w:val="CommentTextChar"/>
    <w:rsid w:val="00DF6EB4"/>
    <w:rPr>
      <w:lang w:eastAsia="de-DE"/>
    </w:rPr>
  </w:style>
  <w:style w:type="character" w:customStyle="1" w:styleId="CommentTextChar">
    <w:name w:val="Comment Text Char"/>
    <w:link w:val="CommentText"/>
    <w:rsid w:val="004668B4"/>
    <w:rPr>
      <w:rFonts w:ascii="Arial" w:hAnsi="Arial"/>
      <w:sz w:val="22"/>
      <w:szCs w:val="24"/>
      <w:lang w:eastAsia="de-DE"/>
    </w:rPr>
  </w:style>
  <w:style w:type="paragraph" w:styleId="DocumentMap">
    <w:name w:val="Document Map"/>
    <w:basedOn w:val="Normal"/>
    <w:link w:val="DocumentMapChar"/>
    <w:rsid w:val="00DF6EB4"/>
    <w:pPr>
      <w:shd w:val="clear" w:color="auto" w:fill="000080"/>
    </w:pPr>
    <w:rPr>
      <w:rFonts w:ascii="Tahoma" w:hAnsi="Tahoma"/>
      <w:sz w:val="20"/>
      <w:lang w:val="de-DE" w:eastAsia="de-DE"/>
    </w:rPr>
  </w:style>
  <w:style w:type="character" w:customStyle="1" w:styleId="DocumentMapChar">
    <w:name w:val="Document Map Char"/>
    <w:link w:val="DocumentMap"/>
    <w:rsid w:val="004668B4"/>
    <w:rPr>
      <w:rFonts w:ascii="Tahoma" w:hAnsi="Tahoma"/>
      <w:szCs w:val="24"/>
      <w:shd w:val="clear" w:color="auto" w:fill="000080"/>
      <w:lang w:val="de-DE" w:eastAsia="de-DE"/>
    </w:rPr>
  </w:style>
  <w:style w:type="character" w:styleId="FollowedHyperlink">
    <w:name w:val="FollowedHyperlink"/>
    <w:rsid w:val="00DF6EB4"/>
    <w:rPr>
      <w:color w:val="800080"/>
      <w:u w:val="single"/>
    </w:rPr>
  </w:style>
  <w:style w:type="paragraph" w:styleId="Index1">
    <w:name w:val="index 1"/>
    <w:basedOn w:val="Normal"/>
    <w:next w:val="Normal"/>
    <w:autoRedefine/>
    <w:rsid w:val="00DF6EB4"/>
    <w:pPr>
      <w:tabs>
        <w:tab w:val="left" w:pos="794"/>
        <w:tab w:val="left" w:pos="1191"/>
        <w:tab w:val="left" w:pos="1588"/>
        <w:tab w:val="left" w:pos="1985"/>
      </w:tabs>
      <w:overflowPunct w:val="0"/>
      <w:autoSpaceDE w:val="0"/>
      <w:autoSpaceDN w:val="0"/>
      <w:adjustRightInd w:val="0"/>
      <w:spacing w:before="120"/>
      <w:textAlignment w:val="baseline"/>
    </w:pPr>
    <w:rPr>
      <w:lang w:eastAsia="de-DE"/>
    </w:rPr>
  </w:style>
  <w:style w:type="paragraph" w:styleId="Index2">
    <w:name w:val="index 2"/>
    <w:basedOn w:val="Normal"/>
    <w:next w:val="Normal"/>
    <w:autoRedefine/>
    <w:rsid w:val="00DF6EB4"/>
    <w:pPr>
      <w:tabs>
        <w:tab w:val="left" w:pos="794"/>
        <w:tab w:val="left" w:pos="1191"/>
        <w:tab w:val="left" w:pos="1588"/>
        <w:tab w:val="left" w:pos="1985"/>
      </w:tabs>
      <w:overflowPunct w:val="0"/>
      <w:autoSpaceDE w:val="0"/>
      <w:autoSpaceDN w:val="0"/>
      <w:adjustRightInd w:val="0"/>
      <w:spacing w:before="120"/>
      <w:ind w:left="283"/>
      <w:textAlignment w:val="baseline"/>
    </w:pPr>
    <w:rPr>
      <w:lang w:eastAsia="de-DE"/>
    </w:rPr>
  </w:style>
  <w:style w:type="paragraph" w:styleId="Index3">
    <w:name w:val="index 3"/>
    <w:basedOn w:val="Normal"/>
    <w:next w:val="Normal"/>
    <w:autoRedefine/>
    <w:rsid w:val="00DF6EB4"/>
    <w:pPr>
      <w:tabs>
        <w:tab w:val="left" w:pos="794"/>
        <w:tab w:val="left" w:pos="1191"/>
        <w:tab w:val="left" w:pos="1588"/>
        <w:tab w:val="left" w:pos="1985"/>
      </w:tabs>
      <w:overflowPunct w:val="0"/>
      <w:autoSpaceDE w:val="0"/>
      <w:autoSpaceDN w:val="0"/>
      <w:adjustRightInd w:val="0"/>
      <w:spacing w:before="120"/>
      <w:ind w:left="566"/>
      <w:textAlignment w:val="baseline"/>
    </w:pPr>
    <w:rPr>
      <w:lang w:eastAsia="de-DE"/>
    </w:rPr>
  </w:style>
  <w:style w:type="paragraph" w:styleId="Index4">
    <w:name w:val="index 4"/>
    <w:basedOn w:val="Normal"/>
    <w:next w:val="Normal"/>
    <w:autoRedefine/>
    <w:rsid w:val="00DF6EB4"/>
    <w:pPr>
      <w:tabs>
        <w:tab w:val="left" w:pos="794"/>
        <w:tab w:val="left" w:pos="1191"/>
        <w:tab w:val="left" w:pos="1588"/>
        <w:tab w:val="left" w:pos="1985"/>
      </w:tabs>
      <w:overflowPunct w:val="0"/>
      <w:autoSpaceDE w:val="0"/>
      <w:autoSpaceDN w:val="0"/>
      <w:adjustRightInd w:val="0"/>
      <w:spacing w:before="120"/>
      <w:ind w:left="849"/>
      <w:textAlignment w:val="baseline"/>
    </w:pPr>
    <w:rPr>
      <w:lang w:eastAsia="de-DE"/>
    </w:rPr>
  </w:style>
  <w:style w:type="paragraph" w:styleId="Index5">
    <w:name w:val="index 5"/>
    <w:basedOn w:val="Normal"/>
    <w:next w:val="Normal"/>
    <w:autoRedefine/>
    <w:rsid w:val="00DF6EB4"/>
    <w:pPr>
      <w:tabs>
        <w:tab w:val="left" w:pos="794"/>
        <w:tab w:val="left" w:pos="1191"/>
        <w:tab w:val="left" w:pos="1588"/>
        <w:tab w:val="left" w:pos="1985"/>
      </w:tabs>
      <w:overflowPunct w:val="0"/>
      <w:autoSpaceDE w:val="0"/>
      <w:autoSpaceDN w:val="0"/>
      <w:adjustRightInd w:val="0"/>
      <w:spacing w:before="120"/>
      <w:ind w:left="1132"/>
      <w:textAlignment w:val="baseline"/>
    </w:pPr>
    <w:rPr>
      <w:lang w:eastAsia="de-DE"/>
    </w:rPr>
  </w:style>
  <w:style w:type="paragraph" w:styleId="Index6">
    <w:name w:val="index 6"/>
    <w:basedOn w:val="Normal"/>
    <w:next w:val="Normal"/>
    <w:autoRedefine/>
    <w:rsid w:val="00DF6EB4"/>
    <w:pPr>
      <w:tabs>
        <w:tab w:val="left" w:pos="794"/>
        <w:tab w:val="left" w:pos="1191"/>
        <w:tab w:val="left" w:pos="1588"/>
        <w:tab w:val="left" w:pos="1985"/>
      </w:tabs>
      <w:overflowPunct w:val="0"/>
      <w:autoSpaceDE w:val="0"/>
      <w:autoSpaceDN w:val="0"/>
      <w:adjustRightInd w:val="0"/>
      <w:spacing w:before="120"/>
      <w:ind w:left="1415"/>
      <w:textAlignment w:val="baseline"/>
    </w:pPr>
    <w:rPr>
      <w:lang w:eastAsia="de-DE"/>
    </w:rPr>
  </w:style>
  <w:style w:type="paragraph" w:styleId="Index7">
    <w:name w:val="index 7"/>
    <w:basedOn w:val="Normal"/>
    <w:next w:val="Normal"/>
    <w:autoRedefine/>
    <w:rsid w:val="00DF6EB4"/>
    <w:pPr>
      <w:tabs>
        <w:tab w:val="left" w:pos="794"/>
        <w:tab w:val="left" w:pos="1191"/>
        <w:tab w:val="left" w:pos="1588"/>
        <w:tab w:val="left" w:pos="1985"/>
      </w:tabs>
      <w:overflowPunct w:val="0"/>
      <w:autoSpaceDE w:val="0"/>
      <w:autoSpaceDN w:val="0"/>
      <w:adjustRightInd w:val="0"/>
      <w:spacing w:before="120"/>
      <w:ind w:left="1698"/>
      <w:textAlignment w:val="baseline"/>
    </w:pPr>
    <w:rPr>
      <w:lang w:eastAsia="de-DE"/>
    </w:rPr>
  </w:style>
  <w:style w:type="paragraph" w:styleId="IndexHeading">
    <w:name w:val="index heading"/>
    <w:basedOn w:val="Normal"/>
    <w:next w:val="Index1"/>
    <w:rsid w:val="00DF6EB4"/>
    <w:pPr>
      <w:tabs>
        <w:tab w:val="left" w:pos="794"/>
        <w:tab w:val="left" w:pos="1191"/>
        <w:tab w:val="left" w:pos="1588"/>
        <w:tab w:val="left" w:pos="1985"/>
      </w:tabs>
      <w:overflowPunct w:val="0"/>
      <w:autoSpaceDE w:val="0"/>
      <w:autoSpaceDN w:val="0"/>
      <w:adjustRightInd w:val="0"/>
      <w:spacing w:before="120"/>
      <w:textAlignment w:val="baseline"/>
    </w:pPr>
    <w:rPr>
      <w:lang w:eastAsia="de-DE"/>
    </w:rPr>
  </w:style>
  <w:style w:type="paragraph" w:styleId="NormalWeb">
    <w:name w:val="Normal (Web)"/>
    <w:basedOn w:val="Normal"/>
    <w:rsid w:val="00DF6EB4"/>
  </w:style>
  <w:style w:type="paragraph" w:customStyle="1" w:styleId="Tabletext">
    <w:name w:val="Table_text"/>
    <w:basedOn w:val="Normal"/>
    <w:rsid w:val="00DF6EB4"/>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pPr>
    <w:rPr>
      <w:iCs/>
      <w:sz w:val="18"/>
      <w:lang w:val="en-US"/>
    </w:rPr>
  </w:style>
  <w:style w:type="paragraph" w:styleId="CommentSubject">
    <w:name w:val="annotation subject"/>
    <w:basedOn w:val="CommentText"/>
    <w:next w:val="CommentText"/>
    <w:link w:val="CommentSubjectChar"/>
    <w:rsid w:val="00DF6EB4"/>
    <w:rPr>
      <w:b/>
      <w:bCs/>
      <w:sz w:val="20"/>
      <w:szCs w:val="20"/>
      <w:lang w:eastAsia="en-US"/>
    </w:rPr>
  </w:style>
  <w:style w:type="character" w:customStyle="1" w:styleId="CommentSubjectChar">
    <w:name w:val="Comment Subject Char"/>
    <w:link w:val="CommentSubject"/>
    <w:rsid w:val="007578C8"/>
    <w:rPr>
      <w:rFonts w:ascii="Arial" w:hAnsi="Arial"/>
      <w:b/>
      <w:bCs/>
      <w:sz w:val="22"/>
      <w:szCs w:val="24"/>
      <w:lang w:eastAsia="en-US"/>
    </w:rPr>
  </w:style>
  <w:style w:type="character" w:styleId="Emphasis">
    <w:name w:val="Emphasis"/>
    <w:rsid w:val="00DF6EB4"/>
    <w:rPr>
      <w:i/>
      <w:iCs/>
    </w:rPr>
  </w:style>
  <w:style w:type="character" w:styleId="HTMLCite">
    <w:name w:val="HTML Cite"/>
    <w:rsid w:val="00DF6EB4"/>
    <w:rPr>
      <w:i/>
      <w:iCs/>
    </w:rPr>
  </w:style>
  <w:style w:type="paragraph" w:customStyle="1" w:styleId="References">
    <w:name w:val="References"/>
    <w:basedOn w:val="Normal"/>
    <w:qFormat/>
    <w:rsid w:val="00DF6EB4"/>
    <w:pPr>
      <w:numPr>
        <w:numId w:val="12"/>
      </w:numPr>
      <w:tabs>
        <w:tab w:val="left" w:pos="567"/>
      </w:tabs>
      <w:spacing w:after="120"/>
    </w:pPr>
    <w:rPr>
      <w:szCs w:val="20"/>
    </w:rPr>
  </w:style>
  <w:style w:type="paragraph" w:customStyle="1" w:styleId="Appendix">
    <w:name w:val="Appendix"/>
    <w:basedOn w:val="Normal"/>
    <w:next w:val="Heading1"/>
    <w:qFormat/>
    <w:rsid w:val="00E22226"/>
    <w:pPr>
      <w:numPr>
        <w:numId w:val="1"/>
      </w:numPr>
      <w:tabs>
        <w:tab w:val="left" w:pos="1985"/>
      </w:tabs>
      <w:spacing w:before="120" w:after="240"/>
      <w:ind w:left="1985" w:hanging="1985"/>
    </w:pPr>
    <w:rPr>
      <w:b/>
      <w:sz w:val="28"/>
      <w:szCs w:val="28"/>
    </w:rPr>
  </w:style>
  <w:style w:type="paragraph" w:styleId="TableofFigures">
    <w:name w:val="table of figures"/>
    <w:basedOn w:val="Normal"/>
    <w:next w:val="Normal"/>
    <w:uiPriority w:val="99"/>
    <w:rsid w:val="00DF6EB4"/>
    <w:pPr>
      <w:tabs>
        <w:tab w:val="left" w:pos="1418"/>
        <w:tab w:val="right" w:pos="9639"/>
      </w:tabs>
      <w:spacing w:before="60" w:after="60"/>
      <w:ind w:left="1418" w:hanging="1418"/>
    </w:pPr>
  </w:style>
  <w:style w:type="paragraph" w:customStyle="1" w:styleId="equation">
    <w:name w:val="equation"/>
    <w:basedOn w:val="Normal"/>
    <w:next w:val="BodyText"/>
    <w:qFormat/>
    <w:rsid w:val="00DF6EB4"/>
    <w:pPr>
      <w:keepNext/>
      <w:numPr>
        <w:numId w:val="5"/>
      </w:numPr>
      <w:tabs>
        <w:tab w:val="left" w:pos="142"/>
      </w:tabs>
      <w:spacing w:after="120"/>
      <w:jc w:val="right"/>
    </w:pPr>
  </w:style>
  <w:style w:type="character" w:customStyle="1" w:styleId="BodyTextChar">
    <w:name w:val="Body Text Char"/>
    <w:link w:val="BodyText"/>
    <w:rsid w:val="00DF6EB4"/>
    <w:rPr>
      <w:rFonts w:ascii="Arial" w:hAnsi="Arial"/>
      <w:sz w:val="22"/>
      <w:szCs w:val="24"/>
      <w:lang w:eastAsia="en-US"/>
    </w:rPr>
  </w:style>
  <w:style w:type="character" w:customStyle="1" w:styleId="BodyTextIndent2Char">
    <w:name w:val="Body Text Indent 2 Char"/>
    <w:link w:val="BodyTextIndent2"/>
    <w:rsid w:val="003C44EB"/>
    <w:rPr>
      <w:rFonts w:ascii="Arial" w:hAnsi="Arial"/>
      <w:sz w:val="22"/>
      <w:szCs w:val="24"/>
      <w:lang w:eastAsia="de-DE"/>
    </w:rPr>
  </w:style>
  <w:style w:type="paragraph" w:customStyle="1" w:styleId="AppendixHeading1">
    <w:name w:val="Appendix Heading 1"/>
    <w:basedOn w:val="Normal"/>
    <w:next w:val="BodyText"/>
    <w:rsid w:val="00DB6664"/>
    <w:pPr>
      <w:numPr>
        <w:numId w:val="15"/>
      </w:numPr>
      <w:spacing w:before="120" w:after="120"/>
    </w:pPr>
    <w:rPr>
      <w:rFonts w:cs="Arial"/>
      <w:b/>
      <w:caps/>
      <w:sz w:val="24"/>
      <w:lang w:eastAsia="en-GB"/>
    </w:rPr>
  </w:style>
  <w:style w:type="paragraph" w:customStyle="1" w:styleId="AppendixHeading2">
    <w:name w:val="Appendix Heading 2"/>
    <w:basedOn w:val="Normal"/>
    <w:next w:val="BodyText"/>
    <w:qFormat/>
    <w:rsid w:val="00DB6664"/>
    <w:pPr>
      <w:numPr>
        <w:ilvl w:val="1"/>
        <w:numId w:val="15"/>
      </w:numPr>
      <w:spacing w:before="120" w:after="120"/>
    </w:pPr>
    <w:rPr>
      <w:rFonts w:cs="Arial"/>
      <w:b/>
      <w:szCs w:val="22"/>
    </w:rPr>
  </w:style>
  <w:style w:type="paragraph" w:customStyle="1" w:styleId="AppendixHeading3">
    <w:name w:val="Appendix Heading 3"/>
    <w:basedOn w:val="Normal"/>
    <w:next w:val="Normal"/>
    <w:rsid w:val="00DB6664"/>
    <w:pPr>
      <w:numPr>
        <w:ilvl w:val="2"/>
        <w:numId w:val="15"/>
      </w:numPr>
      <w:spacing w:before="120" w:after="120"/>
    </w:pPr>
    <w:rPr>
      <w:rFonts w:cs="Arial"/>
      <w:lang w:eastAsia="en-GB"/>
    </w:rPr>
  </w:style>
  <w:style w:type="paragraph" w:customStyle="1" w:styleId="AppendixHeading4">
    <w:name w:val="Appendix Heading 4"/>
    <w:basedOn w:val="Normal"/>
    <w:next w:val="BodyText"/>
    <w:rsid w:val="00DB6664"/>
    <w:pPr>
      <w:numPr>
        <w:ilvl w:val="3"/>
        <w:numId w:val="15"/>
      </w:numPr>
      <w:spacing w:before="120" w:after="120"/>
    </w:pPr>
    <w:rPr>
      <w:rFonts w:cs="Arial"/>
      <w:lang w:eastAsia="en-GB"/>
    </w:rPr>
  </w:style>
  <w:style w:type="paragraph" w:customStyle="1" w:styleId="Recallinglist1">
    <w:name w:val="Recalling list 1"/>
    <w:basedOn w:val="Normal"/>
    <w:qFormat/>
    <w:rsid w:val="005B2BD9"/>
    <w:pPr>
      <w:numPr>
        <w:numId w:val="16"/>
      </w:numPr>
      <w:spacing w:after="120"/>
      <w:jc w:val="both"/>
    </w:pPr>
  </w:style>
  <w:style w:type="paragraph" w:customStyle="1" w:styleId="Recallinglist2">
    <w:name w:val="Recalling list 2"/>
    <w:basedOn w:val="Normal"/>
    <w:qFormat/>
    <w:rsid w:val="005B2BD9"/>
    <w:pPr>
      <w:numPr>
        <w:ilvl w:val="1"/>
        <w:numId w:val="16"/>
      </w:numPr>
      <w:spacing w:after="120"/>
    </w:pPr>
  </w:style>
  <w:style w:type="paragraph" w:customStyle="1" w:styleId="Recallinglist3">
    <w:name w:val="Recalling list 3"/>
    <w:basedOn w:val="Normal"/>
    <w:qFormat/>
    <w:rsid w:val="005B2BD9"/>
    <w:pPr>
      <w:numPr>
        <w:ilvl w:val="2"/>
        <w:numId w:val="16"/>
      </w:numPr>
      <w:spacing w:after="120"/>
    </w:pPr>
    <w:rPr>
      <w:sz w:val="20"/>
    </w:rPr>
  </w:style>
  <w:style w:type="character" w:customStyle="1" w:styleId="FootnoteTextChar">
    <w:name w:val="Footnote Text Char"/>
    <w:basedOn w:val="DefaultParagraphFont"/>
    <w:link w:val="FootnoteText"/>
    <w:semiHidden/>
    <w:rsid w:val="00B176A3"/>
    <w:rPr>
      <w:rFonts w:ascii="Arial" w:hAnsi="Arial"/>
      <w:lang w:eastAsia="en-US"/>
    </w:rPr>
  </w:style>
  <w:style w:type="paragraph" w:customStyle="1" w:styleId="Formatvorlageberschrift3BlockLinks0cmHngend127cm1">
    <w:name w:val="Formatvorlage Überschrift 3 + Block Links:  0 cm Hängend:  127 cm1"/>
    <w:basedOn w:val="Heading3"/>
    <w:rsid w:val="00B176A3"/>
    <w:pPr>
      <w:tabs>
        <w:tab w:val="clear" w:pos="851"/>
        <w:tab w:val="clear" w:pos="992"/>
        <w:tab w:val="num" w:pos="720"/>
      </w:tabs>
      <w:spacing w:before="240" w:after="60"/>
      <w:ind w:left="720" w:hanging="720"/>
      <w:jc w:val="both"/>
    </w:pPr>
    <w:rPr>
      <w:b/>
      <w:bCs/>
      <w:sz w:val="26"/>
      <w:lang w:val="en-US"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caption" w:semiHidden="1" w:unhideWhenUsed="1" w:qFormat="1"/>
    <w:lsdException w:name="table of figures" w:uiPriority="99"/>
    <w:lsdException w:name="Title" w:qFormat="1"/>
    <w:lsdException w:name="Default Paragraph Font" w:uiPriority="1"/>
    <w:lsdException w:name="Body Text" w:qFormat="1"/>
    <w:lsdException w:name="Subtitle" w:qFormat="1"/>
    <w:lsdException w:name="Hyperlink" w:uiPriority="99"/>
    <w:lsdException w:name="Strong" w:qFormat="1"/>
    <w:lsdException w:name="Emphasis" w:qFormat="1"/>
    <w:lsdException w:name="No List" w:uiPriority="99"/>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lsdException w:name="Quote"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atentStyles>
  <w:style w:type="paragraph" w:default="1" w:styleId="Normal">
    <w:name w:val="Normal"/>
    <w:qFormat/>
    <w:rsid w:val="005B2BD9"/>
    <w:rPr>
      <w:rFonts w:ascii="Arial" w:hAnsi="Arial"/>
      <w:sz w:val="22"/>
      <w:szCs w:val="24"/>
      <w:lang w:eastAsia="en-US"/>
    </w:rPr>
  </w:style>
  <w:style w:type="paragraph" w:styleId="Heading1">
    <w:name w:val="heading 1"/>
    <w:basedOn w:val="Normal"/>
    <w:next w:val="BodyText"/>
    <w:qFormat/>
    <w:rsid w:val="00DF6EB4"/>
    <w:pPr>
      <w:keepNext/>
      <w:numPr>
        <w:numId w:val="7"/>
      </w:numPr>
      <w:spacing w:before="240" w:after="240"/>
      <w:outlineLvl w:val="0"/>
    </w:pPr>
    <w:rPr>
      <w:b/>
      <w:caps/>
      <w:kern w:val="28"/>
      <w:sz w:val="24"/>
      <w:szCs w:val="20"/>
      <w:lang w:eastAsia="de-DE"/>
    </w:rPr>
  </w:style>
  <w:style w:type="paragraph" w:styleId="Heading2">
    <w:name w:val="heading 2"/>
    <w:basedOn w:val="Normal"/>
    <w:next w:val="BodyText"/>
    <w:qFormat/>
    <w:rsid w:val="00DF6EB4"/>
    <w:pPr>
      <w:numPr>
        <w:ilvl w:val="1"/>
        <w:numId w:val="7"/>
      </w:numPr>
      <w:spacing w:before="120" w:after="120"/>
      <w:outlineLvl w:val="1"/>
    </w:pPr>
    <w:rPr>
      <w:b/>
    </w:rPr>
  </w:style>
  <w:style w:type="paragraph" w:styleId="Heading3">
    <w:name w:val="heading 3"/>
    <w:basedOn w:val="Normal"/>
    <w:next w:val="Normal"/>
    <w:qFormat/>
    <w:rsid w:val="00DF6EB4"/>
    <w:pPr>
      <w:keepNext/>
      <w:numPr>
        <w:ilvl w:val="2"/>
        <w:numId w:val="7"/>
      </w:numPr>
      <w:tabs>
        <w:tab w:val="left" w:pos="851"/>
      </w:tabs>
      <w:spacing w:before="120" w:after="120"/>
      <w:outlineLvl w:val="2"/>
    </w:pPr>
    <w:rPr>
      <w:szCs w:val="20"/>
      <w:lang w:eastAsia="de-DE"/>
    </w:rPr>
  </w:style>
  <w:style w:type="paragraph" w:styleId="Heading4">
    <w:name w:val="heading 4"/>
    <w:basedOn w:val="Normal"/>
    <w:next w:val="Normal"/>
    <w:qFormat/>
    <w:rsid w:val="00DF6EB4"/>
    <w:pPr>
      <w:keepNext/>
      <w:numPr>
        <w:ilvl w:val="3"/>
        <w:numId w:val="7"/>
      </w:numPr>
      <w:spacing w:before="120" w:after="120"/>
      <w:outlineLvl w:val="3"/>
    </w:pPr>
    <w:rPr>
      <w:szCs w:val="20"/>
      <w:lang w:val="en-US" w:eastAsia="de-DE"/>
    </w:rPr>
  </w:style>
  <w:style w:type="paragraph" w:styleId="Heading5">
    <w:name w:val="heading 5"/>
    <w:aliases w:val="H5,H51,H52,H511,H53,H512,H54,H513,H521,H5111,H55,H514,H522,H5112,H531,H5121,H5211,H51111,H541,H5131"/>
    <w:basedOn w:val="Normal"/>
    <w:next w:val="Normal"/>
    <w:qFormat/>
    <w:rsid w:val="00DF6EB4"/>
    <w:pPr>
      <w:numPr>
        <w:ilvl w:val="4"/>
        <w:numId w:val="7"/>
      </w:numPr>
      <w:spacing w:before="240" w:after="60"/>
      <w:outlineLvl w:val="4"/>
    </w:pPr>
    <w:rPr>
      <w:szCs w:val="20"/>
      <w:lang w:val="de-DE" w:eastAsia="de-DE"/>
    </w:rPr>
  </w:style>
  <w:style w:type="paragraph" w:styleId="Heading6">
    <w:name w:val="heading 6"/>
    <w:basedOn w:val="Normal"/>
    <w:next w:val="Normal"/>
    <w:qFormat/>
    <w:rsid w:val="00DF6EB4"/>
    <w:pPr>
      <w:numPr>
        <w:ilvl w:val="5"/>
        <w:numId w:val="7"/>
      </w:numPr>
      <w:spacing w:before="240" w:after="60"/>
      <w:outlineLvl w:val="5"/>
    </w:pPr>
    <w:rPr>
      <w:i/>
      <w:szCs w:val="20"/>
      <w:lang w:val="de-DE" w:eastAsia="de-DE"/>
    </w:rPr>
  </w:style>
  <w:style w:type="paragraph" w:styleId="Heading7">
    <w:name w:val="heading 7"/>
    <w:basedOn w:val="Normal"/>
    <w:next w:val="Normal"/>
    <w:qFormat/>
    <w:rsid w:val="00DF6EB4"/>
    <w:pPr>
      <w:numPr>
        <w:ilvl w:val="6"/>
        <w:numId w:val="7"/>
      </w:numPr>
      <w:spacing w:before="240" w:after="60"/>
      <w:outlineLvl w:val="6"/>
    </w:pPr>
    <w:rPr>
      <w:szCs w:val="20"/>
      <w:lang w:val="de-DE" w:eastAsia="de-DE"/>
    </w:rPr>
  </w:style>
  <w:style w:type="paragraph" w:styleId="Heading8">
    <w:name w:val="heading 8"/>
    <w:basedOn w:val="Normal"/>
    <w:next w:val="Normal"/>
    <w:qFormat/>
    <w:rsid w:val="00DF6EB4"/>
    <w:pPr>
      <w:numPr>
        <w:ilvl w:val="7"/>
        <w:numId w:val="7"/>
      </w:numPr>
      <w:spacing w:before="240" w:after="60"/>
      <w:outlineLvl w:val="7"/>
    </w:pPr>
    <w:rPr>
      <w:i/>
      <w:szCs w:val="20"/>
      <w:lang w:val="de-DE" w:eastAsia="de-DE"/>
    </w:rPr>
  </w:style>
  <w:style w:type="paragraph" w:styleId="Heading9">
    <w:name w:val="heading 9"/>
    <w:basedOn w:val="Normal"/>
    <w:next w:val="Normal"/>
    <w:qFormat/>
    <w:rsid w:val="00DF6EB4"/>
    <w:pPr>
      <w:numPr>
        <w:ilvl w:val="8"/>
        <w:numId w:val="7"/>
      </w:numPr>
      <w:spacing w:before="240" w:after="60"/>
      <w:outlineLvl w:val="8"/>
    </w:pPr>
    <w:rPr>
      <w:b/>
      <w:i/>
      <w:sz w:val="18"/>
      <w:szCs w:val="20"/>
      <w:lang w:val="de-DE"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qFormat/>
    <w:rsid w:val="00DF6EB4"/>
    <w:pPr>
      <w:spacing w:after="120"/>
      <w:jc w:val="both"/>
    </w:pPr>
  </w:style>
  <w:style w:type="paragraph" w:styleId="FootnoteText">
    <w:name w:val="footnote text"/>
    <w:basedOn w:val="Normal"/>
    <w:link w:val="FootnoteTextChar"/>
    <w:semiHidden/>
    <w:rsid w:val="00DF6EB4"/>
    <w:rPr>
      <w:sz w:val="20"/>
      <w:szCs w:val="20"/>
    </w:rPr>
  </w:style>
  <w:style w:type="character" w:styleId="FootnoteReference">
    <w:name w:val="footnote reference"/>
    <w:semiHidden/>
    <w:rsid w:val="00DF6EB4"/>
    <w:rPr>
      <w:vertAlign w:val="superscript"/>
    </w:rPr>
  </w:style>
  <w:style w:type="paragraph" w:styleId="Header">
    <w:name w:val="header"/>
    <w:basedOn w:val="Normal"/>
    <w:rsid w:val="00AB2FA0"/>
    <w:pPr>
      <w:tabs>
        <w:tab w:val="center" w:pos="4678"/>
        <w:tab w:val="right" w:pos="9356"/>
      </w:tabs>
    </w:pPr>
  </w:style>
  <w:style w:type="paragraph" w:styleId="Quote">
    <w:name w:val="Quote"/>
    <w:basedOn w:val="Normal"/>
    <w:rsid w:val="00DF6EB4"/>
    <w:pPr>
      <w:spacing w:before="60" w:after="60"/>
      <w:ind w:left="567" w:right="935"/>
      <w:jc w:val="both"/>
    </w:pPr>
    <w:rPr>
      <w:i/>
    </w:rPr>
  </w:style>
  <w:style w:type="paragraph" w:styleId="ListBullet">
    <w:name w:val="List Bullet"/>
    <w:basedOn w:val="Normal"/>
    <w:autoRedefine/>
    <w:rsid w:val="00DF6EB4"/>
    <w:pPr>
      <w:spacing w:before="60" w:after="80"/>
      <w:ind w:left="354"/>
    </w:pPr>
  </w:style>
  <w:style w:type="paragraph" w:styleId="Title">
    <w:name w:val="Title"/>
    <w:basedOn w:val="Normal"/>
    <w:qFormat/>
    <w:rsid w:val="00DF6EB4"/>
    <w:pPr>
      <w:spacing w:before="180" w:after="60"/>
      <w:jc w:val="center"/>
      <w:outlineLvl w:val="0"/>
    </w:pPr>
    <w:rPr>
      <w:rFonts w:cs="Arial"/>
      <w:b/>
      <w:bCs/>
      <w:kern w:val="28"/>
      <w:sz w:val="32"/>
      <w:szCs w:val="32"/>
    </w:rPr>
  </w:style>
  <w:style w:type="paragraph" w:styleId="Footer">
    <w:name w:val="footer"/>
    <w:basedOn w:val="Normal"/>
    <w:rsid w:val="00AB2FA0"/>
    <w:pPr>
      <w:tabs>
        <w:tab w:val="center" w:pos="4820"/>
        <w:tab w:val="right" w:pos="9356"/>
      </w:tabs>
    </w:pPr>
  </w:style>
  <w:style w:type="character" w:styleId="PageNumber">
    <w:name w:val="page number"/>
    <w:rsid w:val="00DF6EB4"/>
    <w:rPr>
      <w:rFonts w:ascii="Arial" w:hAnsi="Arial"/>
      <w:sz w:val="20"/>
    </w:rPr>
  </w:style>
  <w:style w:type="paragraph" w:styleId="BodyText2">
    <w:name w:val="Body Text 2"/>
    <w:basedOn w:val="Normal"/>
    <w:rsid w:val="00DF6EB4"/>
    <w:pPr>
      <w:autoSpaceDE w:val="0"/>
      <w:autoSpaceDN w:val="0"/>
      <w:adjustRightInd w:val="0"/>
      <w:spacing w:before="180"/>
      <w:ind w:left="720"/>
    </w:pPr>
    <w:rPr>
      <w:color w:val="000000"/>
    </w:rPr>
  </w:style>
  <w:style w:type="numbering" w:styleId="ArticleSection">
    <w:name w:val="Outline List 3"/>
    <w:basedOn w:val="NoList"/>
    <w:rsid w:val="00DF6EB4"/>
    <w:pPr>
      <w:numPr>
        <w:numId w:val="2"/>
      </w:numPr>
    </w:pPr>
  </w:style>
  <w:style w:type="paragraph" w:styleId="BodyText3">
    <w:name w:val="Body Text 3"/>
    <w:basedOn w:val="Normal"/>
    <w:rsid w:val="00DF6EB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ind w:left="720"/>
    </w:pPr>
    <w:rPr>
      <w:bCs/>
      <w:i/>
      <w:iCs/>
    </w:rPr>
  </w:style>
  <w:style w:type="paragraph" w:styleId="Subtitle">
    <w:name w:val="Subtitle"/>
    <w:basedOn w:val="Normal"/>
    <w:qFormat/>
    <w:rsid w:val="00DF6EB4"/>
    <w:pPr>
      <w:spacing w:after="60"/>
      <w:jc w:val="center"/>
      <w:outlineLvl w:val="1"/>
    </w:pPr>
    <w:rPr>
      <w:rFonts w:cs="Arial"/>
      <w:b/>
      <w:sz w:val="28"/>
      <w:szCs w:val="28"/>
    </w:rPr>
  </w:style>
  <w:style w:type="paragraph" w:styleId="TOC1">
    <w:name w:val="toc 1"/>
    <w:basedOn w:val="Normal"/>
    <w:next w:val="Normal"/>
    <w:autoRedefine/>
    <w:uiPriority w:val="39"/>
    <w:rsid w:val="00DF6EB4"/>
    <w:pPr>
      <w:tabs>
        <w:tab w:val="left" w:pos="567"/>
        <w:tab w:val="right" w:pos="9639"/>
      </w:tabs>
      <w:spacing w:before="120"/>
      <w:ind w:left="567" w:right="142" w:hanging="567"/>
      <w:jc w:val="both"/>
    </w:pPr>
    <w:rPr>
      <w:rFonts w:cs="Arial"/>
      <w:b/>
      <w:bCs/>
      <w:caps/>
    </w:rPr>
  </w:style>
  <w:style w:type="paragraph" w:styleId="TOC2">
    <w:name w:val="toc 2"/>
    <w:basedOn w:val="Normal"/>
    <w:next w:val="Normal"/>
    <w:autoRedefine/>
    <w:uiPriority w:val="39"/>
    <w:rsid w:val="0044197E"/>
    <w:pPr>
      <w:tabs>
        <w:tab w:val="left" w:pos="851"/>
        <w:tab w:val="right" w:pos="9639"/>
      </w:tabs>
      <w:spacing w:before="120" w:after="120"/>
      <w:ind w:left="851" w:hanging="851"/>
    </w:pPr>
    <w:rPr>
      <w:bCs/>
      <w:szCs w:val="20"/>
    </w:rPr>
  </w:style>
  <w:style w:type="paragraph" w:styleId="TOC3">
    <w:name w:val="toc 3"/>
    <w:basedOn w:val="Normal"/>
    <w:next w:val="Normal"/>
    <w:autoRedefine/>
    <w:uiPriority w:val="39"/>
    <w:rsid w:val="0044197E"/>
    <w:pPr>
      <w:tabs>
        <w:tab w:val="left" w:pos="1701"/>
        <w:tab w:val="right" w:pos="9639"/>
      </w:tabs>
      <w:ind w:left="1701" w:hanging="850"/>
    </w:pPr>
    <w:rPr>
      <w:sz w:val="20"/>
      <w:szCs w:val="20"/>
    </w:rPr>
  </w:style>
  <w:style w:type="paragraph" w:styleId="TOC4">
    <w:name w:val="toc 4"/>
    <w:basedOn w:val="Normal"/>
    <w:next w:val="Normal"/>
    <w:autoRedefine/>
    <w:uiPriority w:val="39"/>
    <w:rsid w:val="00DF6EB4"/>
    <w:pPr>
      <w:tabs>
        <w:tab w:val="left" w:pos="1701"/>
        <w:tab w:val="right" w:pos="9639"/>
      </w:tabs>
      <w:spacing w:before="240" w:after="240"/>
      <w:ind w:left="1701" w:hanging="1701"/>
    </w:pPr>
    <w:rPr>
      <w:rFonts w:ascii="Calibri" w:hAnsi="Calibri"/>
      <w:b/>
      <w:noProof/>
      <w:szCs w:val="22"/>
      <w:lang w:eastAsia="en-GB"/>
    </w:rPr>
  </w:style>
  <w:style w:type="paragraph" w:styleId="TOC5">
    <w:name w:val="toc 5"/>
    <w:basedOn w:val="Normal"/>
    <w:next w:val="Normal"/>
    <w:autoRedefine/>
    <w:uiPriority w:val="39"/>
    <w:rsid w:val="001F045B"/>
    <w:pPr>
      <w:tabs>
        <w:tab w:val="left" w:pos="1985"/>
        <w:tab w:val="right" w:pos="9639"/>
      </w:tabs>
      <w:spacing w:before="120" w:after="120"/>
      <w:ind w:left="1985" w:hanging="1985"/>
    </w:pPr>
    <w:rPr>
      <w:b/>
      <w:szCs w:val="20"/>
    </w:rPr>
  </w:style>
  <w:style w:type="paragraph" w:styleId="TOC6">
    <w:name w:val="toc 6"/>
    <w:basedOn w:val="Normal"/>
    <w:next w:val="Normal"/>
    <w:autoRedefine/>
    <w:semiHidden/>
    <w:rsid w:val="00DF6EB4"/>
    <w:pPr>
      <w:ind w:left="960"/>
    </w:pPr>
    <w:rPr>
      <w:sz w:val="20"/>
      <w:szCs w:val="20"/>
    </w:rPr>
  </w:style>
  <w:style w:type="paragraph" w:styleId="TOC7">
    <w:name w:val="toc 7"/>
    <w:basedOn w:val="Normal"/>
    <w:next w:val="Normal"/>
    <w:autoRedefine/>
    <w:semiHidden/>
    <w:rsid w:val="00DF6EB4"/>
    <w:pPr>
      <w:ind w:left="1200"/>
    </w:pPr>
    <w:rPr>
      <w:sz w:val="20"/>
      <w:szCs w:val="20"/>
    </w:rPr>
  </w:style>
  <w:style w:type="paragraph" w:styleId="TOC8">
    <w:name w:val="toc 8"/>
    <w:basedOn w:val="Normal"/>
    <w:next w:val="Normal"/>
    <w:autoRedefine/>
    <w:semiHidden/>
    <w:rsid w:val="00DF6EB4"/>
    <w:pPr>
      <w:ind w:left="1440"/>
    </w:pPr>
    <w:rPr>
      <w:sz w:val="20"/>
      <w:szCs w:val="20"/>
    </w:rPr>
  </w:style>
  <w:style w:type="paragraph" w:styleId="TOC9">
    <w:name w:val="toc 9"/>
    <w:basedOn w:val="Normal"/>
    <w:next w:val="Normal"/>
    <w:autoRedefine/>
    <w:semiHidden/>
    <w:rsid w:val="00DF6EB4"/>
    <w:pPr>
      <w:ind w:left="1680"/>
    </w:pPr>
    <w:rPr>
      <w:sz w:val="20"/>
      <w:szCs w:val="20"/>
    </w:rPr>
  </w:style>
  <w:style w:type="character" w:styleId="Hyperlink">
    <w:name w:val="Hyperlink"/>
    <w:uiPriority w:val="99"/>
    <w:rsid w:val="00DF6EB4"/>
    <w:rPr>
      <w:color w:val="0000FF"/>
      <w:u w:val="single"/>
    </w:rPr>
  </w:style>
  <w:style w:type="paragraph" w:customStyle="1" w:styleId="THECOUNCIL">
    <w:name w:val="THE COUNCIL"/>
    <w:basedOn w:val="BodyText"/>
    <w:rsid w:val="00DF6EB4"/>
    <w:rPr>
      <w:b/>
      <w:sz w:val="28"/>
    </w:rPr>
  </w:style>
  <w:style w:type="paragraph" w:customStyle="1" w:styleId="Recallings">
    <w:name w:val="Recallings"/>
    <w:basedOn w:val="BodyText"/>
    <w:rsid w:val="00DF6EB4"/>
    <w:pPr>
      <w:spacing w:before="240"/>
      <w:ind w:left="425"/>
    </w:pPr>
    <w:rPr>
      <w:rFonts w:cs="Arial"/>
    </w:rPr>
  </w:style>
  <w:style w:type="paragraph" w:customStyle="1" w:styleId="RecommendsNo">
    <w:name w:val="Recommends No"/>
    <w:basedOn w:val="Normal"/>
    <w:rsid w:val="00DF6EB4"/>
    <w:pPr>
      <w:ind w:left="1145" w:right="-45" w:hanging="720"/>
      <w:jc w:val="both"/>
    </w:pPr>
  </w:style>
  <w:style w:type="paragraph" w:styleId="ListNumber">
    <w:name w:val="List Number"/>
    <w:basedOn w:val="Normal"/>
    <w:rsid w:val="00DF6EB4"/>
    <w:pPr>
      <w:numPr>
        <w:numId w:val="10"/>
      </w:numPr>
    </w:pPr>
  </w:style>
  <w:style w:type="paragraph" w:styleId="ListNumber2">
    <w:name w:val="List Number 2"/>
    <w:basedOn w:val="Normal"/>
    <w:rsid w:val="00DF6EB4"/>
    <w:pPr>
      <w:numPr>
        <w:numId w:val="11"/>
      </w:numPr>
    </w:pPr>
  </w:style>
  <w:style w:type="paragraph" w:styleId="BodyTextIndent">
    <w:name w:val="Body Text Indent"/>
    <w:basedOn w:val="Normal"/>
    <w:rsid w:val="00DF6EB4"/>
    <w:pPr>
      <w:spacing w:after="120"/>
      <w:ind w:left="360"/>
    </w:pPr>
  </w:style>
  <w:style w:type="paragraph" w:styleId="BodyTextFirstIndent2">
    <w:name w:val="Body Text First Indent 2"/>
    <w:aliases w:val="Body Text Second Indent"/>
    <w:basedOn w:val="Normal"/>
    <w:rsid w:val="00DF6EB4"/>
    <w:pPr>
      <w:ind w:left="720"/>
      <w:jc w:val="both"/>
    </w:pPr>
    <w:rPr>
      <w:lang w:val="en-US"/>
    </w:rPr>
  </w:style>
  <w:style w:type="paragraph" w:styleId="BodyTextIndent2">
    <w:name w:val="Body Text Indent 2"/>
    <w:basedOn w:val="Normal"/>
    <w:link w:val="BodyTextIndent2Char"/>
    <w:rsid w:val="00DF6EB4"/>
    <w:pPr>
      <w:spacing w:after="120"/>
      <w:ind w:left="1134"/>
      <w:jc w:val="both"/>
    </w:pPr>
    <w:rPr>
      <w:lang w:eastAsia="de-DE"/>
    </w:rPr>
  </w:style>
  <w:style w:type="paragraph" w:styleId="BodyTextFirstIndent">
    <w:name w:val="Body Text First Indent"/>
    <w:basedOn w:val="Normal"/>
    <w:rsid w:val="00DF6EB4"/>
    <w:pPr>
      <w:spacing w:after="120"/>
      <w:ind w:left="851"/>
      <w:jc w:val="both"/>
    </w:pPr>
  </w:style>
  <w:style w:type="paragraph" w:customStyle="1" w:styleId="Bullet1">
    <w:name w:val="Bullet 1"/>
    <w:basedOn w:val="Normal"/>
    <w:qFormat/>
    <w:rsid w:val="003C44EB"/>
    <w:pPr>
      <w:numPr>
        <w:numId w:val="3"/>
      </w:numPr>
      <w:tabs>
        <w:tab w:val="clear" w:pos="720"/>
        <w:tab w:val="num" w:pos="993"/>
      </w:tabs>
      <w:spacing w:before="60" w:after="60"/>
      <w:ind w:left="993" w:hanging="426"/>
      <w:jc w:val="both"/>
      <w:outlineLvl w:val="0"/>
    </w:pPr>
    <w:rPr>
      <w:rFonts w:eastAsia="Times"/>
      <w:szCs w:val="20"/>
      <w:lang w:eastAsia="en-GB"/>
    </w:rPr>
  </w:style>
  <w:style w:type="paragraph" w:customStyle="1" w:styleId="Bullet1text">
    <w:name w:val="Bullet 1 text"/>
    <w:basedOn w:val="Normal"/>
    <w:qFormat/>
    <w:rsid w:val="00DF6EB4"/>
    <w:pPr>
      <w:suppressAutoHyphens/>
      <w:spacing w:after="120"/>
      <w:ind w:left="1134"/>
      <w:jc w:val="both"/>
    </w:pPr>
    <w:rPr>
      <w:szCs w:val="20"/>
      <w:lang w:eastAsia="en-GB"/>
    </w:rPr>
  </w:style>
  <w:style w:type="paragraph" w:customStyle="1" w:styleId="Bullet2">
    <w:name w:val="Bullet 2"/>
    <w:basedOn w:val="Normal"/>
    <w:qFormat/>
    <w:rsid w:val="003C44EB"/>
    <w:pPr>
      <w:numPr>
        <w:numId w:val="14"/>
      </w:numPr>
      <w:tabs>
        <w:tab w:val="left" w:pos="1418"/>
      </w:tabs>
      <w:spacing w:after="120"/>
      <w:ind w:left="1418" w:hanging="425"/>
    </w:pPr>
    <w:rPr>
      <w:sz w:val="20"/>
      <w:szCs w:val="20"/>
      <w:lang w:eastAsia="en-GB"/>
    </w:rPr>
  </w:style>
  <w:style w:type="paragraph" w:customStyle="1" w:styleId="Bullet2text">
    <w:name w:val="Bullet 2 text"/>
    <w:basedOn w:val="Normal"/>
    <w:rsid w:val="00E22226"/>
    <w:pPr>
      <w:suppressAutoHyphens/>
      <w:spacing w:after="120"/>
      <w:ind w:left="1418"/>
      <w:jc w:val="both"/>
    </w:pPr>
    <w:rPr>
      <w:sz w:val="20"/>
      <w:szCs w:val="20"/>
      <w:lang w:eastAsia="en-GB"/>
    </w:rPr>
  </w:style>
  <w:style w:type="paragraph" w:customStyle="1" w:styleId="Bullet3">
    <w:name w:val="Bullet 3"/>
    <w:basedOn w:val="Bullet2"/>
    <w:rsid w:val="00E22226"/>
    <w:pPr>
      <w:numPr>
        <w:numId w:val="4"/>
      </w:numPr>
      <w:tabs>
        <w:tab w:val="clear" w:pos="1418"/>
        <w:tab w:val="left" w:pos="1843"/>
      </w:tabs>
    </w:pPr>
  </w:style>
  <w:style w:type="paragraph" w:customStyle="1" w:styleId="Bullet3text">
    <w:name w:val="Bullet 3 text"/>
    <w:basedOn w:val="Normal"/>
    <w:autoRedefine/>
    <w:rsid w:val="00E22226"/>
    <w:pPr>
      <w:suppressAutoHyphens/>
      <w:spacing w:after="120"/>
      <w:ind w:left="1843"/>
      <w:jc w:val="both"/>
    </w:pPr>
    <w:rPr>
      <w:sz w:val="20"/>
      <w:szCs w:val="20"/>
      <w:lang w:eastAsia="en-GB"/>
    </w:rPr>
  </w:style>
  <w:style w:type="paragraph" w:customStyle="1" w:styleId="Figure">
    <w:name w:val="Figure_#"/>
    <w:basedOn w:val="Normal"/>
    <w:next w:val="Normal"/>
    <w:qFormat/>
    <w:rsid w:val="00DF6EB4"/>
    <w:pPr>
      <w:numPr>
        <w:numId w:val="6"/>
      </w:numPr>
      <w:spacing w:before="120" w:after="120"/>
      <w:jc w:val="center"/>
    </w:pPr>
    <w:rPr>
      <w:i/>
      <w:szCs w:val="20"/>
      <w:lang w:eastAsia="en-GB"/>
    </w:rPr>
  </w:style>
  <w:style w:type="paragraph" w:customStyle="1" w:styleId="List1">
    <w:name w:val="List 1"/>
    <w:basedOn w:val="Normal"/>
    <w:qFormat/>
    <w:rsid w:val="00DF6EB4"/>
    <w:pPr>
      <w:numPr>
        <w:numId w:val="8"/>
      </w:numPr>
      <w:spacing w:after="120"/>
      <w:jc w:val="both"/>
    </w:pPr>
    <w:rPr>
      <w:szCs w:val="20"/>
      <w:lang w:eastAsia="en-GB"/>
    </w:rPr>
  </w:style>
  <w:style w:type="paragraph" w:customStyle="1" w:styleId="List1indent">
    <w:name w:val="List 1 indent"/>
    <w:basedOn w:val="Normal"/>
    <w:qFormat/>
    <w:rsid w:val="00DF6EB4"/>
    <w:pPr>
      <w:numPr>
        <w:ilvl w:val="1"/>
        <w:numId w:val="8"/>
      </w:numPr>
      <w:spacing w:after="120"/>
      <w:jc w:val="both"/>
    </w:pPr>
    <w:rPr>
      <w:szCs w:val="20"/>
      <w:lang w:eastAsia="en-GB"/>
    </w:rPr>
  </w:style>
  <w:style w:type="paragraph" w:customStyle="1" w:styleId="List1indent2">
    <w:name w:val="List 1 indent 2"/>
    <w:basedOn w:val="Normal"/>
    <w:qFormat/>
    <w:rsid w:val="00DF6EB4"/>
    <w:pPr>
      <w:numPr>
        <w:ilvl w:val="2"/>
        <w:numId w:val="9"/>
      </w:numPr>
      <w:spacing w:after="120"/>
      <w:jc w:val="both"/>
    </w:pPr>
    <w:rPr>
      <w:sz w:val="20"/>
      <w:szCs w:val="20"/>
      <w:lang w:eastAsia="en-GB"/>
    </w:rPr>
  </w:style>
  <w:style w:type="paragraph" w:customStyle="1" w:styleId="List1indent2text">
    <w:name w:val="List 1 indent 2 text"/>
    <w:basedOn w:val="Normal"/>
    <w:rsid w:val="00DF6EB4"/>
    <w:pPr>
      <w:spacing w:after="120"/>
      <w:ind w:left="1701"/>
      <w:jc w:val="both"/>
    </w:pPr>
    <w:rPr>
      <w:sz w:val="20"/>
      <w:szCs w:val="20"/>
      <w:lang w:eastAsia="en-GB"/>
    </w:rPr>
  </w:style>
  <w:style w:type="paragraph" w:customStyle="1" w:styleId="List1indenttext">
    <w:name w:val="List 1 indent text"/>
    <w:basedOn w:val="Normal"/>
    <w:rsid w:val="00DF6EB4"/>
    <w:pPr>
      <w:spacing w:after="120"/>
      <w:ind w:left="1134"/>
      <w:jc w:val="both"/>
    </w:pPr>
    <w:rPr>
      <w:szCs w:val="20"/>
      <w:lang w:eastAsia="en-GB"/>
    </w:rPr>
  </w:style>
  <w:style w:type="paragraph" w:customStyle="1" w:styleId="List1text">
    <w:name w:val="List 1 text"/>
    <w:basedOn w:val="Normal"/>
    <w:rsid w:val="00DF6EB4"/>
    <w:pPr>
      <w:spacing w:after="120"/>
      <w:ind w:left="567"/>
      <w:jc w:val="both"/>
    </w:pPr>
    <w:rPr>
      <w:szCs w:val="20"/>
      <w:lang w:eastAsia="en-GB"/>
    </w:rPr>
  </w:style>
  <w:style w:type="character" w:customStyle="1" w:styleId="StyleFootnoteReference115ptBlack">
    <w:name w:val="Style Footnote Reference + 11.5 pt Black"/>
    <w:rsid w:val="00DF6EB4"/>
    <w:rPr>
      <w:rFonts w:ascii="Arial" w:hAnsi="Arial"/>
      <w:color w:val="000000"/>
      <w:sz w:val="23"/>
      <w:vertAlign w:val="superscript"/>
    </w:rPr>
  </w:style>
  <w:style w:type="paragraph" w:customStyle="1" w:styleId="Table">
    <w:name w:val="Table_#"/>
    <w:basedOn w:val="Normal"/>
    <w:next w:val="Normal"/>
    <w:qFormat/>
    <w:rsid w:val="00DF6EB4"/>
    <w:pPr>
      <w:numPr>
        <w:numId w:val="13"/>
      </w:numPr>
      <w:spacing w:before="120" w:after="120"/>
      <w:jc w:val="center"/>
    </w:pPr>
    <w:rPr>
      <w:i/>
      <w:szCs w:val="20"/>
      <w:lang w:eastAsia="en-GB"/>
    </w:rPr>
  </w:style>
  <w:style w:type="paragraph" w:styleId="BalloonText">
    <w:name w:val="Balloon Text"/>
    <w:basedOn w:val="Normal"/>
    <w:link w:val="BalloonTextChar"/>
    <w:rsid w:val="00DF6EB4"/>
    <w:rPr>
      <w:rFonts w:ascii="Tahoma" w:hAnsi="Tahoma" w:cs="Tahoma"/>
      <w:sz w:val="16"/>
      <w:szCs w:val="16"/>
    </w:rPr>
  </w:style>
  <w:style w:type="character" w:customStyle="1" w:styleId="BalloonTextChar">
    <w:name w:val="Balloon Text Char"/>
    <w:link w:val="BalloonText"/>
    <w:rsid w:val="004668B4"/>
    <w:rPr>
      <w:rFonts w:ascii="Tahoma" w:hAnsi="Tahoma" w:cs="Tahoma"/>
      <w:sz w:val="16"/>
      <w:szCs w:val="16"/>
      <w:lang w:eastAsia="en-US"/>
    </w:rPr>
  </w:style>
  <w:style w:type="paragraph" w:styleId="BlockText">
    <w:name w:val="Block Text"/>
    <w:basedOn w:val="Normal"/>
    <w:rsid w:val="00DF6EB4"/>
    <w:pPr>
      <w:spacing w:after="120"/>
      <w:ind w:left="1440" w:right="1440"/>
      <w:jc w:val="center"/>
    </w:pPr>
    <w:rPr>
      <w:b/>
      <w:sz w:val="28"/>
      <w:szCs w:val="28"/>
    </w:rPr>
  </w:style>
  <w:style w:type="character" w:styleId="CommentReference">
    <w:name w:val="annotation reference"/>
    <w:rsid w:val="00DF6EB4"/>
    <w:rPr>
      <w:sz w:val="16"/>
      <w:szCs w:val="16"/>
    </w:rPr>
  </w:style>
  <w:style w:type="paragraph" w:styleId="CommentText">
    <w:name w:val="annotation text"/>
    <w:basedOn w:val="Normal"/>
    <w:link w:val="CommentTextChar"/>
    <w:rsid w:val="00DF6EB4"/>
    <w:rPr>
      <w:lang w:eastAsia="de-DE"/>
    </w:rPr>
  </w:style>
  <w:style w:type="character" w:customStyle="1" w:styleId="CommentTextChar">
    <w:name w:val="Comment Text Char"/>
    <w:link w:val="CommentText"/>
    <w:rsid w:val="004668B4"/>
    <w:rPr>
      <w:rFonts w:ascii="Arial" w:hAnsi="Arial"/>
      <w:sz w:val="22"/>
      <w:szCs w:val="24"/>
      <w:lang w:eastAsia="de-DE"/>
    </w:rPr>
  </w:style>
  <w:style w:type="paragraph" w:styleId="DocumentMap">
    <w:name w:val="Document Map"/>
    <w:basedOn w:val="Normal"/>
    <w:link w:val="DocumentMapChar"/>
    <w:rsid w:val="00DF6EB4"/>
    <w:pPr>
      <w:shd w:val="clear" w:color="auto" w:fill="000080"/>
    </w:pPr>
    <w:rPr>
      <w:rFonts w:ascii="Tahoma" w:hAnsi="Tahoma"/>
      <w:sz w:val="20"/>
      <w:lang w:val="de-DE" w:eastAsia="de-DE"/>
    </w:rPr>
  </w:style>
  <w:style w:type="character" w:customStyle="1" w:styleId="DocumentMapChar">
    <w:name w:val="Document Map Char"/>
    <w:link w:val="DocumentMap"/>
    <w:rsid w:val="004668B4"/>
    <w:rPr>
      <w:rFonts w:ascii="Tahoma" w:hAnsi="Tahoma"/>
      <w:szCs w:val="24"/>
      <w:shd w:val="clear" w:color="auto" w:fill="000080"/>
      <w:lang w:val="de-DE" w:eastAsia="de-DE"/>
    </w:rPr>
  </w:style>
  <w:style w:type="character" w:styleId="FollowedHyperlink">
    <w:name w:val="FollowedHyperlink"/>
    <w:rsid w:val="00DF6EB4"/>
    <w:rPr>
      <w:color w:val="800080"/>
      <w:u w:val="single"/>
    </w:rPr>
  </w:style>
  <w:style w:type="paragraph" w:styleId="Index1">
    <w:name w:val="index 1"/>
    <w:basedOn w:val="Normal"/>
    <w:next w:val="Normal"/>
    <w:autoRedefine/>
    <w:rsid w:val="00DF6EB4"/>
    <w:pPr>
      <w:tabs>
        <w:tab w:val="left" w:pos="794"/>
        <w:tab w:val="left" w:pos="1191"/>
        <w:tab w:val="left" w:pos="1588"/>
        <w:tab w:val="left" w:pos="1985"/>
      </w:tabs>
      <w:overflowPunct w:val="0"/>
      <w:autoSpaceDE w:val="0"/>
      <w:autoSpaceDN w:val="0"/>
      <w:adjustRightInd w:val="0"/>
      <w:spacing w:before="120"/>
      <w:textAlignment w:val="baseline"/>
    </w:pPr>
    <w:rPr>
      <w:lang w:eastAsia="de-DE"/>
    </w:rPr>
  </w:style>
  <w:style w:type="paragraph" w:styleId="Index2">
    <w:name w:val="index 2"/>
    <w:basedOn w:val="Normal"/>
    <w:next w:val="Normal"/>
    <w:autoRedefine/>
    <w:rsid w:val="00DF6EB4"/>
    <w:pPr>
      <w:tabs>
        <w:tab w:val="left" w:pos="794"/>
        <w:tab w:val="left" w:pos="1191"/>
        <w:tab w:val="left" w:pos="1588"/>
        <w:tab w:val="left" w:pos="1985"/>
      </w:tabs>
      <w:overflowPunct w:val="0"/>
      <w:autoSpaceDE w:val="0"/>
      <w:autoSpaceDN w:val="0"/>
      <w:adjustRightInd w:val="0"/>
      <w:spacing w:before="120"/>
      <w:ind w:left="283"/>
      <w:textAlignment w:val="baseline"/>
    </w:pPr>
    <w:rPr>
      <w:lang w:eastAsia="de-DE"/>
    </w:rPr>
  </w:style>
  <w:style w:type="paragraph" w:styleId="Index3">
    <w:name w:val="index 3"/>
    <w:basedOn w:val="Normal"/>
    <w:next w:val="Normal"/>
    <w:autoRedefine/>
    <w:rsid w:val="00DF6EB4"/>
    <w:pPr>
      <w:tabs>
        <w:tab w:val="left" w:pos="794"/>
        <w:tab w:val="left" w:pos="1191"/>
        <w:tab w:val="left" w:pos="1588"/>
        <w:tab w:val="left" w:pos="1985"/>
      </w:tabs>
      <w:overflowPunct w:val="0"/>
      <w:autoSpaceDE w:val="0"/>
      <w:autoSpaceDN w:val="0"/>
      <w:adjustRightInd w:val="0"/>
      <w:spacing w:before="120"/>
      <w:ind w:left="566"/>
      <w:textAlignment w:val="baseline"/>
    </w:pPr>
    <w:rPr>
      <w:lang w:eastAsia="de-DE"/>
    </w:rPr>
  </w:style>
  <w:style w:type="paragraph" w:styleId="Index4">
    <w:name w:val="index 4"/>
    <w:basedOn w:val="Normal"/>
    <w:next w:val="Normal"/>
    <w:autoRedefine/>
    <w:rsid w:val="00DF6EB4"/>
    <w:pPr>
      <w:tabs>
        <w:tab w:val="left" w:pos="794"/>
        <w:tab w:val="left" w:pos="1191"/>
        <w:tab w:val="left" w:pos="1588"/>
        <w:tab w:val="left" w:pos="1985"/>
      </w:tabs>
      <w:overflowPunct w:val="0"/>
      <w:autoSpaceDE w:val="0"/>
      <w:autoSpaceDN w:val="0"/>
      <w:adjustRightInd w:val="0"/>
      <w:spacing w:before="120"/>
      <w:ind w:left="849"/>
      <w:textAlignment w:val="baseline"/>
    </w:pPr>
    <w:rPr>
      <w:lang w:eastAsia="de-DE"/>
    </w:rPr>
  </w:style>
  <w:style w:type="paragraph" w:styleId="Index5">
    <w:name w:val="index 5"/>
    <w:basedOn w:val="Normal"/>
    <w:next w:val="Normal"/>
    <w:autoRedefine/>
    <w:rsid w:val="00DF6EB4"/>
    <w:pPr>
      <w:tabs>
        <w:tab w:val="left" w:pos="794"/>
        <w:tab w:val="left" w:pos="1191"/>
        <w:tab w:val="left" w:pos="1588"/>
        <w:tab w:val="left" w:pos="1985"/>
      </w:tabs>
      <w:overflowPunct w:val="0"/>
      <w:autoSpaceDE w:val="0"/>
      <w:autoSpaceDN w:val="0"/>
      <w:adjustRightInd w:val="0"/>
      <w:spacing w:before="120"/>
      <w:ind w:left="1132"/>
      <w:textAlignment w:val="baseline"/>
    </w:pPr>
    <w:rPr>
      <w:lang w:eastAsia="de-DE"/>
    </w:rPr>
  </w:style>
  <w:style w:type="paragraph" w:styleId="Index6">
    <w:name w:val="index 6"/>
    <w:basedOn w:val="Normal"/>
    <w:next w:val="Normal"/>
    <w:autoRedefine/>
    <w:rsid w:val="00DF6EB4"/>
    <w:pPr>
      <w:tabs>
        <w:tab w:val="left" w:pos="794"/>
        <w:tab w:val="left" w:pos="1191"/>
        <w:tab w:val="left" w:pos="1588"/>
        <w:tab w:val="left" w:pos="1985"/>
      </w:tabs>
      <w:overflowPunct w:val="0"/>
      <w:autoSpaceDE w:val="0"/>
      <w:autoSpaceDN w:val="0"/>
      <w:adjustRightInd w:val="0"/>
      <w:spacing w:before="120"/>
      <w:ind w:left="1415"/>
      <w:textAlignment w:val="baseline"/>
    </w:pPr>
    <w:rPr>
      <w:lang w:eastAsia="de-DE"/>
    </w:rPr>
  </w:style>
  <w:style w:type="paragraph" w:styleId="Index7">
    <w:name w:val="index 7"/>
    <w:basedOn w:val="Normal"/>
    <w:next w:val="Normal"/>
    <w:autoRedefine/>
    <w:rsid w:val="00DF6EB4"/>
    <w:pPr>
      <w:tabs>
        <w:tab w:val="left" w:pos="794"/>
        <w:tab w:val="left" w:pos="1191"/>
        <w:tab w:val="left" w:pos="1588"/>
        <w:tab w:val="left" w:pos="1985"/>
      </w:tabs>
      <w:overflowPunct w:val="0"/>
      <w:autoSpaceDE w:val="0"/>
      <w:autoSpaceDN w:val="0"/>
      <w:adjustRightInd w:val="0"/>
      <w:spacing w:before="120"/>
      <w:ind w:left="1698"/>
      <w:textAlignment w:val="baseline"/>
    </w:pPr>
    <w:rPr>
      <w:lang w:eastAsia="de-DE"/>
    </w:rPr>
  </w:style>
  <w:style w:type="paragraph" w:styleId="IndexHeading">
    <w:name w:val="index heading"/>
    <w:basedOn w:val="Normal"/>
    <w:next w:val="Index1"/>
    <w:rsid w:val="00DF6EB4"/>
    <w:pPr>
      <w:tabs>
        <w:tab w:val="left" w:pos="794"/>
        <w:tab w:val="left" w:pos="1191"/>
        <w:tab w:val="left" w:pos="1588"/>
        <w:tab w:val="left" w:pos="1985"/>
      </w:tabs>
      <w:overflowPunct w:val="0"/>
      <w:autoSpaceDE w:val="0"/>
      <w:autoSpaceDN w:val="0"/>
      <w:adjustRightInd w:val="0"/>
      <w:spacing w:before="120"/>
      <w:textAlignment w:val="baseline"/>
    </w:pPr>
    <w:rPr>
      <w:lang w:eastAsia="de-DE"/>
    </w:rPr>
  </w:style>
  <w:style w:type="paragraph" w:styleId="NormalWeb">
    <w:name w:val="Normal (Web)"/>
    <w:basedOn w:val="Normal"/>
    <w:rsid w:val="00DF6EB4"/>
  </w:style>
  <w:style w:type="paragraph" w:customStyle="1" w:styleId="Tabletext">
    <w:name w:val="Table_text"/>
    <w:basedOn w:val="Normal"/>
    <w:rsid w:val="00DF6EB4"/>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pPr>
    <w:rPr>
      <w:iCs/>
      <w:sz w:val="18"/>
      <w:lang w:val="en-US"/>
    </w:rPr>
  </w:style>
  <w:style w:type="paragraph" w:styleId="CommentSubject">
    <w:name w:val="annotation subject"/>
    <w:basedOn w:val="CommentText"/>
    <w:next w:val="CommentText"/>
    <w:link w:val="CommentSubjectChar"/>
    <w:rsid w:val="00DF6EB4"/>
    <w:rPr>
      <w:b/>
      <w:bCs/>
      <w:sz w:val="20"/>
      <w:szCs w:val="20"/>
      <w:lang w:eastAsia="en-US"/>
    </w:rPr>
  </w:style>
  <w:style w:type="character" w:customStyle="1" w:styleId="CommentSubjectChar">
    <w:name w:val="Comment Subject Char"/>
    <w:link w:val="CommentSubject"/>
    <w:rsid w:val="007578C8"/>
    <w:rPr>
      <w:rFonts w:ascii="Arial" w:hAnsi="Arial"/>
      <w:b/>
      <w:bCs/>
      <w:sz w:val="22"/>
      <w:szCs w:val="24"/>
      <w:lang w:eastAsia="en-US"/>
    </w:rPr>
  </w:style>
  <w:style w:type="character" w:styleId="Emphasis">
    <w:name w:val="Emphasis"/>
    <w:rsid w:val="00DF6EB4"/>
    <w:rPr>
      <w:i/>
      <w:iCs/>
    </w:rPr>
  </w:style>
  <w:style w:type="character" w:styleId="HTMLCite">
    <w:name w:val="HTML Cite"/>
    <w:rsid w:val="00DF6EB4"/>
    <w:rPr>
      <w:i/>
      <w:iCs/>
    </w:rPr>
  </w:style>
  <w:style w:type="paragraph" w:customStyle="1" w:styleId="References">
    <w:name w:val="References"/>
    <w:basedOn w:val="Normal"/>
    <w:qFormat/>
    <w:rsid w:val="00DF6EB4"/>
    <w:pPr>
      <w:numPr>
        <w:numId w:val="12"/>
      </w:numPr>
      <w:tabs>
        <w:tab w:val="left" w:pos="567"/>
      </w:tabs>
      <w:spacing w:after="120"/>
    </w:pPr>
    <w:rPr>
      <w:szCs w:val="20"/>
    </w:rPr>
  </w:style>
  <w:style w:type="paragraph" w:customStyle="1" w:styleId="Appendix">
    <w:name w:val="Appendix"/>
    <w:basedOn w:val="Normal"/>
    <w:next w:val="Heading1"/>
    <w:qFormat/>
    <w:rsid w:val="00E22226"/>
    <w:pPr>
      <w:numPr>
        <w:numId w:val="1"/>
      </w:numPr>
      <w:tabs>
        <w:tab w:val="left" w:pos="1985"/>
      </w:tabs>
      <w:spacing w:before="120" w:after="240"/>
      <w:ind w:left="1985" w:hanging="1985"/>
    </w:pPr>
    <w:rPr>
      <w:b/>
      <w:sz w:val="28"/>
      <w:szCs w:val="28"/>
    </w:rPr>
  </w:style>
  <w:style w:type="paragraph" w:styleId="TableofFigures">
    <w:name w:val="table of figures"/>
    <w:basedOn w:val="Normal"/>
    <w:next w:val="Normal"/>
    <w:uiPriority w:val="99"/>
    <w:rsid w:val="00DF6EB4"/>
    <w:pPr>
      <w:tabs>
        <w:tab w:val="left" w:pos="1418"/>
        <w:tab w:val="right" w:pos="9639"/>
      </w:tabs>
      <w:spacing w:before="60" w:after="60"/>
      <w:ind w:left="1418" w:hanging="1418"/>
    </w:pPr>
  </w:style>
  <w:style w:type="paragraph" w:customStyle="1" w:styleId="equation">
    <w:name w:val="equation"/>
    <w:basedOn w:val="Normal"/>
    <w:next w:val="BodyText"/>
    <w:qFormat/>
    <w:rsid w:val="00DF6EB4"/>
    <w:pPr>
      <w:keepNext/>
      <w:numPr>
        <w:numId w:val="5"/>
      </w:numPr>
      <w:tabs>
        <w:tab w:val="left" w:pos="142"/>
      </w:tabs>
      <w:spacing w:after="120"/>
      <w:jc w:val="right"/>
    </w:pPr>
  </w:style>
  <w:style w:type="character" w:customStyle="1" w:styleId="BodyTextChar">
    <w:name w:val="Body Text Char"/>
    <w:link w:val="BodyText"/>
    <w:rsid w:val="00DF6EB4"/>
    <w:rPr>
      <w:rFonts w:ascii="Arial" w:hAnsi="Arial"/>
      <w:sz w:val="22"/>
      <w:szCs w:val="24"/>
      <w:lang w:eastAsia="en-US"/>
    </w:rPr>
  </w:style>
  <w:style w:type="character" w:customStyle="1" w:styleId="BodyTextIndent2Char">
    <w:name w:val="Body Text Indent 2 Char"/>
    <w:link w:val="BodyTextIndent2"/>
    <w:rsid w:val="003C44EB"/>
    <w:rPr>
      <w:rFonts w:ascii="Arial" w:hAnsi="Arial"/>
      <w:sz w:val="22"/>
      <w:szCs w:val="24"/>
      <w:lang w:eastAsia="de-DE"/>
    </w:rPr>
  </w:style>
  <w:style w:type="paragraph" w:customStyle="1" w:styleId="AppendixHeading1">
    <w:name w:val="Appendix Heading 1"/>
    <w:basedOn w:val="Normal"/>
    <w:next w:val="BodyText"/>
    <w:rsid w:val="00DB6664"/>
    <w:pPr>
      <w:numPr>
        <w:numId w:val="15"/>
      </w:numPr>
      <w:spacing w:before="120" w:after="120"/>
    </w:pPr>
    <w:rPr>
      <w:rFonts w:cs="Arial"/>
      <w:b/>
      <w:caps/>
      <w:sz w:val="24"/>
      <w:lang w:eastAsia="en-GB"/>
    </w:rPr>
  </w:style>
  <w:style w:type="paragraph" w:customStyle="1" w:styleId="AppendixHeading2">
    <w:name w:val="Appendix Heading 2"/>
    <w:basedOn w:val="Normal"/>
    <w:next w:val="BodyText"/>
    <w:qFormat/>
    <w:rsid w:val="00DB6664"/>
    <w:pPr>
      <w:numPr>
        <w:ilvl w:val="1"/>
        <w:numId w:val="15"/>
      </w:numPr>
      <w:spacing w:before="120" w:after="120"/>
    </w:pPr>
    <w:rPr>
      <w:rFonts w:cs="Arial"/>
      <w:b/>
      <w:szCs w:val="22"/>
    </w:rPr>
  </w:style>
  <w:style w:type="paragraph" w:customStyle="1" w:styleId="AppendixHeading3">
    <w:name w:val="Appendix Heading 3"/>
    <w:basedOn w:val="Normal"/>
    <w:next w:val="Normal"/>
    <w:rsid w:val="00DB6664"/>
    <w:pPr>
      <w:numPr>
        <w:ilvl w:val="2"/>
        <w:numId w:val="15"/>
      </w:numPr>
      <w:spacing w:before="120" w:after="120"/>
    </w:pPr>
    <w:rPr>
      <w:rFonts w:cs="Arial"/>
      <w:lang w:eastAsia="en-GB"/>
    </w:rPr>
  </w:style>
  <w:style w:type="paragraph" w:customStyle="1" w:styleId="AppendixHeading4">
    <w:name w:val="Appendix Heading 4"/>
    <w:basedOn w:val="Normal"/>
    <w:next w:val="BodyText"/>
    <w:rsid w:val="00DB6664"/>
    <w:pPr>
      <w:numPr>
        <w:ilvl w:val="3"/>
        <w:numId w:val="15"/>
      </w:numPr>
      <w:spacing w:before="120" w:after="120"/>
    </w:pPr>
    <w:rPr>
      <w:rFonts w:cs="Arial"/>
      <w:lang w:eastAsia="en-GB"/>
    </w:rPr>
  </w:style>
  <w:style w:type="paragraph" w:customStyle="1" w:styleId="Recallinglist1">
    <w:name w:val="Recalling list 1"/>
    <w:basedOn w:val="Normal"/>
    <w:qFormat/>
    <w:rsid w:val="005B2BD9"/>
    <w:pPr>
      <w:numPr>
        <w:numId w:val="16"/>
      </w:numPr>
      <w:spacing w:after="120"/>
      <w:jc w:val="both"/>
    </w:pPr>
  </w:style>
  <w:style w:type="paragraph" w:customStyle="1" w:styleId="Recallinglist2">
    <w:name w:val="Recalling list 2"/>
    <w:basedOn w:val="Normal"/>
    <w:qFormat/>
    <w:rsid w:val="005B2BD9"/>
    <w:pPr>
      <w:numPr>
        <w:ilvl w:val="1"/>
        <w:numId w:val="16"/>
      </w:numPr>
      <w:spacing w:after="120"/>
    </w:pPr>
  </w:style>
  <w:style w:type="paragraph" w:customStyle="1" w:styleId="Recallinglist3">
    <w:name w:val="Recalling list 3"/>
    <w:basedOn w:val="Normal"/>
    <w:qFormat/>
    <w:rsid w:val="005B2BD9"/>
    <w:pPr>
      <w:numPr>
        <w:ilvl w:val="2"/>
        <w:numId w:val="16"/>
      </w:numPr>
      <w:spacing w:after="120"/>
    </w:pPr>
    <w:rPr>
      <w:sz w:val="20"/>
    </w:rPr>
  </w:style>
  <w:style w:type="character" w:customStyle="1" w:styleId="FootnoteTextChar">
    <w:name w:val="Footnote Text Char"/>
    <w:basedOn w:val="DefaultParagraphFont"/>
    <w:link w:val="FootnoteText"/>
    <w:semiHidden/>
    <w:rsid w:val="00B176A3"/>
    <w:rPr>
      <w:rFonts w:ascii="Arial" w:hAnsi="Arial"/>
      <w:lang w:eastAsia="en-US"/>
    </w:rPr>
  </w:style>
  <w:style w:type="paragraph" w:customStyle="1" w:styleId="Formatvorlageberschrift3BlockLinks0cmHngend127cm1">
    <w:name w:val="Formatvorlage Überschrift 3 + Block Links:  0 cm Hängend:  127 cm1"/>
    <w:basedOn w:val="Heading3"/>
    <w:rsid w:val="00B176A3"/>
    <w:pPr>
      <w:tabs>
        <w:tab w:val="clear" w:pos="851"/>
        <w:tab w:val="clear" w:pos="992"/>
        <w:tab w:val="num" w:pos="720"/>
      </w:tabs>
      <w:spacing w:before="240" w:after="60"/>
      <w:ind w:left="720" w:hanging="720"/>
      <w:jc w:val="both"/>
    </w:pPr>
    <w:rPr>
      <w:b/>
      <w:bCs/>
      <w:sz w:val="26"/>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71585911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1.png"/><Relationship Id="rId18" Type="http://schemas.openxmlformats.org/officeDocument/2006/relationships/oleObject" Target="embeddings/oleObject2.bin"/><Relationship Id="rId26" Type="http://schemas.openxmlformats.org/officeDocument/2006/relationships/oleObject" Target="embeddings/oleObject6.bin"/><Relationship Id="rId3" Type="http://schemas.openxmlformats.org/officeDocument/2006/relationships/styles" Target="styles.xml"/><Relationship Id="rId21" Type="http://schemas.openxmlformats.org/officeDocument/2006/relationships/image" Target="media/image5.emf"/><Relationship Id="rId34" Type="http://schemas.openxmlformats.org/officeDocument/2006/relationships/fontTable" Target="fontTable.xml"/><Relationship Id="rId7" Type="http://schemas.openxmlformats.org/officeDocument/2006/relationships/footnotes" Target="footnotes.xml"/><Relationship Id="rId12" Type="http://schemas.openxmlformats.org/officeDocument/2006/relationships/hyperlink" Target="http://www.iala-aism.org" TargetMode="External"/><Relationship Id="rId17" Type="http://schemas.openxmlformats.org/officeDocument/2006/relationships/image" Target="media/image3.emf"/><Relationship Id="rId25" Type="http://schemas.openxmlformats.org/officeDocument/2006/relationships/image" Target="media/image7.emf"/><Relationship Id="rId33" Type="http://schemas.openxmlformats.org/officeDocument/2006/relationships/header" Target="header3.xml"/><Relationship Id="rId2" Type="http://schemas.openxmlformats.org/officeDocument/2006/relationships/numbering" Target="numbering.xml"/><Relationship Id="rId16" Type="http://schemas.openxmlformats.org/officeDocument/2006/relationships/header" Target="header1.xml"/><Relationship Id="rId20" Type="http://schemas.openxmlformats.org/officeDocument/2006/relationships/oleObject" Target="embeddings/oleObject3.bin"/><Relationship Id="rId29" Type="http://schemas.openxmlformats.org/officeDocument/2006/relationships/image" Target="media/image9.emf"/><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mailto:iala-aism@wanadoo.fr" TargetMode="External"/><Relationship Id="rId24" Type="http://schemas.openxmlformats.org/officeDocument/2006/relationships/oleObject" Target="embeddings/oleObject5.bin"/><Relationship Id="rId32" Type="http://schemas.openxmlformats.org/officeDocument/2006/relationships/footer" Target="footer1.xml"/><Relationship Id="rId5" Type="http://schemas.openxmlformats.org/officeDocument/2006/relationships/settings" Target="settings.xml"/><Relationship Id="rId15" Type="http://schemas.openxmlformats.org/officeDocument/2006/relationships/oleObject" Target="embeddings/oleObject1.bin"/><Relationship Id="rId23" Type="http://schemas.openxmlformats.org/officeDocument/2006/relationships/image" Target="media/image6.emf"/><Relationship Id="rId28" Type="http://schemas.openxmlformats.org/officeDocument/2006/relationships/oleObject" Target="embeddings/oleObject7.bin"/><Relationship Id="rId10" Type="http://schemas.openxmlformats.org/officeDocument/2006/relationships/hyperlink" Target="http://www.iala-aism.org" TargetMode="External"/><Relationship Id="rId19" Type="http://schemas.openxmlformats.org/officeDocument/2006/relationships/image" Target="media/image4.emf"/><Relationship Id="rId31" Type="http://schemas.openxmlformats.org/officeDocument/2006/relationships/header" Target="header2.xml"/><Relationship Id="rId4" Type="http://schemas.microsoft.com/office/2007/relationships/stylesWithEffects" Target="stylesWithEffects.xml"/><Relationship Id="rId9" Type="http://schemas.openxmlformats.org/officeDocument/2006/relationships/hyperlink" Target="mailto:iala-aism@wanadoo.fr" TargetMode="External"/><Relationship Id="rId14" Type="http://schemas.openxmlformats.org/officeDocument/2006/relationships/image" Target="media/image2.emf"/><Relationship Id="rId22" Type="http://schemas.openxmlformats.org/officeDocument/2006/relationships/oleObject" Target="embeddings/oleObject4.bin"/><Relationship Id="rId27" Type="http://schemas.openxmlformats.org/officeDocument/2006/relationships/image" Target="media/image8.emf"/><Relationship Id="rId30" Type="http://schemas.openxmlformats.org/officeDocument/2006/relationships/oleObject" Target="embeddings/oleObject8.bin"/><Relationship Id="rId35"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08FD4E2-91EF-42CC-ADFB-9EAE6D53EFC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26</Pages>
  <Words>8109</Words>
  <Characters>46226</Characters>
  <Application>Microsoft Office Word</Application>
  <DocSecurity>0</DocSecurity>
  <Lines>385</Lines>
  <Paragraphs>108</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Recommendation Template</vt:lpstr>
      <vt:lpstr>Recommendation Template</vt:lpstr>
    </vt:vector>
  </TitlesOfParts>
  <Company>GDWS ASt. Nord Bezirk</Company>
  <LinksUpToDate>false</LinksUpToDate>
  <CharactersWithSpaces>54227</CharactersWithSpaces>
  <SharedDoc>false</SharedDoc>
  <HLinks>
    <vt:vector size="126" baseType="variant">
      <vt:variant>
        <vt:i4>1179709</vt:i4>
      </vt:variant>
      <vt:variant>
        <vt:i4>116</vt:i4>
      </vt:variant>
      <vt:variant>
        <vt:i4>0</vt:i4>
      </vt:variant>
      <vt:variant>
        <vt:i4>5</vt:i4>
      </vt:variant>
      <vt:variant>
        <vt:lpwstr/>
      </vt:variant>
      <vt:variant>
        <vt:lpwstr>_Toc216497075</vt:lpwstr>
      </vt:variant>
      <vt:variant>
        <vt:i4>1245245</vt:i4>
      </vt:variant>
      <vt:variant>
        <vt:i4>107</vt:i4>
      </vt:variant>
      <vt:variant>
        <vt:i4>0</vt:i4>
      </vt:variant>
      <vt:variant>
        <vt:i4>5</vt:i4>
      </vt:variant>
      <vt:variant>
        <vt:lpwstr/>
      </vt:variant>
      <vt:variant>
        <vt:lpwstr>_Toc216497068</vt:lpwstr>
      </vt:variant>
      <vt:variant>
        <vt:i4>1310778</vt:i4>
      </vt:variant>
      <vt:variant>
        <vt:i4>98</vt:i4>
      </vt:variant>
      <vt:variant>
        <vt:i4>0</vt:i4>
      </vt:variant>
      <vt:variant>
        <vt:i4>5</vt:i4>
      </vt:variant>
      <vt:variant>
        <vt:lpwstr/>
      </vt:variant>
      <vt:variant>
        <vt:lpwstr>_Toc216496700</vt:lpwstr>
      </vt:variant>
      <vt:variant>
        <vt:i4>1900603</vt:i4>
      </vt:variant>
      <vt:variant>
        <vt:i4>92</vt:i4>
      </vt:variant>
      <vt:variant>
        <vt:i4>0</vt:i4>
      </vt:variant>
      <vt:variant>
        <vt:i4>5</vt:i4>
      </vt:variant>
      <vt:variant>
        <vt:lpwstr/>
      </vt:variant>
      <vt:variant>
        <vt:lpwstr>_Toc216496699</vt:lpwstr>
      </vt:variant>
      <vt:variant>
        <vt:i4>1900603</vt:i4>
      </vt:variant>
      <vt:variant>
        <vt:i4>86</vt:i4>
      </vt:variant>
      <vt:variant>
        <vt:i4>0</vt:i4>
      </vt:variant>
      <vt:variant>
        <vt:i4>5</vt:i4>
      </vt:variant>
      <vt:variant>
        <vt:lpwstr/>
      </vt:variant>
      <vt:variant>
        <vt:lpwstr>_Toc216496698</vt:lpwstr>
      </vt:variant>
      <vt:variant>
        <vt:i4>1900603</vt:i4>
      </vt:variant>
      <vt:variant>
        <vt:i4>80</vt:i4>
      </vt:variant>
      <vt:variant>
        <vt:i4>0</vt:i4>
      </vt:variant>
      <vt:variant>
        <vt:i4>5</vt:i4>
      </vt:variant>
      <vt:variant>
        <vt:lpwstr/>
      </vt:variant>
      <vt:variant>
        <vt:lpwstr>_Toc216496697</vt:lpwstr>
      </vt:variant>
      <vt:variant>
        <vt:i4>1900603</vt:i4>
      </vt:variant>
      <vt:variant>
        <vt:i4>74</vt:i4>
      </vt:variant>
      <vt:variant>
        <vt:i4>0</vt:i4>
      </vt:variant>
      <vt:variant>
        <vt:i4>5</vt:i4>
      </vt:variant>
      <vt:variant>
        <vt:lpwstr/>
      </vt:variant>
      <vt:variant>
        <vt:lpwstr>_Toc216496696</vt:lpwstr>
      </vt:variant>
      <vt:variant>
        <vt:i4>1900603</vt:i4>
      </vt:variant>
      <vt:variant>
        <vt:i4>68</vt:i4>
      </vt:variant>
      <vt:variant>
        <vt:i4>0</vt:i4>
      </vt:variant>
      <vt:variant>
        <vt:i4>5</vt:i4>
      </vt:variant>
      <vt:variant>
        <vt:lpwstr/>
      </vt:variant>
      <vt:variant>
        <vt:lpwstr>_Toc216496695</vt:lpwstr>
      </vt:variant>
      <vt:variant>
        <vt:i4>1900603</vt:i4>
      </vt:variant>
      <vt:variant>
        <vt:i4>62</vt:i4>
      </vt:variant>
      <vt:variant>
        <vt:i4>0</vt:i4>
      </vt:variant>
      <vt:variant>
        <vt:i4>5</vt:i4>
      </vt:variant>
      <vt:variant>
        <vt:lpwstr/>
      </vt:variant>
      <vt:variant>
        <vt:lpwstr>_Toc216496694</vt:lpwstr>
      </vt:variant>
      <vt:variant>
        <vt:i4>1900603</vt:i4>
      </vt:variant>
      <vt:variant>
        <vt:i4>56</vt:i4>
      </vt:variant>
      <vt:variant>
        <vt:i4>0</vt:i4>
      </vt:variant>
      <vt:variant>
        <vt:i4>5</vt:i4>
      </vt:variant>
      <vt:variant>
        <vt:lpwstr/>
      </vt:variant>
      <vt:variant>
        <vt:lpwstr>_Toc216496693</vt:lpwstr>
      </vt:variant>
      <vt:variant>
        <vt:i4>1900603</vt:i4>
      </vt:variant>
      <vt:variant>
        <vt:i4>50</vt:i4>
      </vt:variant>
      <vt:variant>
        <vt:i4>0</vt:i4>
      </vt:variant>
      <vt:variant>
        <vt:i4>5</vt:i4>
      </vt:variant>
      <vt:variant>
        <vt:lpwstr/>
      </vt:variant>
      <vt:variant>
        <vt:lpwstr>_Toc216496692</vt:lpwstr>
      </vt:variant>
      <vt:variant>
        <vt:i4>1900603</vt:i4>
      </vt:variant>
      <vt:variant>
        <vt:i4>44</vt:i4>
      </vt:variant>
      <vt:variant>
        <vt:i4>0</vt:i4>
      </vt:variant>
      <vt:variant>
        <vt:i4>5</vt:i4>
      </vt:variant>
      <vt:variant>
        <vt:lpwstr/>
      </vt:variant>
      <vt:variant>
        <vt:lpwstr>_Toc216496691</vt:lpwstr>
      </vt:variant>
      <vt:variant>
        <vt:i4>1900603</vt:i4>
      </vt:variant>
      <vt:variant>
        <vt:i4>38</vt:i4>
      </vt:variant>
      <vt:variant>
        <vt:i4>0</vt:i4>
      </vt:variant>
      <vt:variant>
        <vt:i4>5</vt:i4>
      </vt:variant>
      <vt:variant>
        <vt:lpwstr/>
      </vt:variant>
      <vt:variant>
        <vt:lpwstr>_Toc216496690</vt:lpwstr>
      </vt:variant>
      <vt:variant>
        <vt:i4>1835067</vt:i4>
      </vt:variant>
      <vt:variant>
        <vt:i4>32</vt:i4>
      </vt:variant>
      <vt:variant>
        <vt:i4>0</vt:i4>
      </vt:variant>
      <vt:variant>
        <vt:i4>5</vt:i4>
      </vt:variant>
      <vt:variant>
        <vt:lpwstr/>
      </vt:variant>
      <vt:variant>
        <vt:lpwstr>_Toc216496689</vt:lpwstr>
      </vt:variant>
      <vt:variant>
        <vt:i4>1835067</vt:i4>
      </vt:variant>
      <vt:variant>
        <vt:i4>26</vt:i4>
      </vt:variant>
      <vt:variant>
        <vt:i4>0</vt:i4>
      </vt:variant>
      <vt:variant>
        <vt:i4>5</vt:i4>
      </vt:variant>
      <vt:variant>
        <vt:lpwstr/>
      </vt:variant>
      <vt:variant>
        <vt:lpwstr>_Toc216496688</vt:lpwstr>
      </vt:variant>
      <vt:variant>
        <vt:i4>1835067</vt:i4>
      </vt:variant>
      <vt:variant>
        <vt:i4>20</vt:i4>
      </vt:variant>
      <vt:variant>
        <vt:i4>0</vt:i4>
      </vt:variant>
      <vt:variant>
        <vt:i4>5</vt:i4>
      </vt:variant>
      <vt:variant>
        <vt:lpwstr/>
      </vt:variant>
      <vt:variant>
        <vt:lpwstr>_Toc216496687</vt:lpwstr>
      </vt:variant>
      <vt:variant>
        <vt:i4>1835067</vt:i4>
      </vt:variant>
      <vt:variant>
        <vt:i4>14</vt:i4>
      </vt:variant>
      <vt:variant>
        <vt:i4>0</vt:i4>
      </vt:variant>
      <vt:variant>
        <vt:i4>5</vt:i4>
      </vt:variant>
      <vt:variant>
        <vt:lpwstr/>
      </vt:variant>
      <vt:variant>
        <vt:lpwstr>_Toc216496686</vt:lpwstr>
      </vt:variant>
      <vt:variant>
        <vt:i4>1835067</vt:i4>
      </vt:variant>
      <vt:variant>
        <vt:i4>8</vt:i4>
      </vt:variant>
      <vt:variant>
        <vt:i4>0</vt:i4>
      </vt:variant>
      <vt:variant>
        <vt:i4>5</vt:i4>
      </vt:variant>
      <vt:variant>
        <vt:lpwstr/>
      </vt:variant>
      <vt:variant>
        <vt:lpwstr>_Toc216496685</vt:lpwstr>
      </vt:variant>
      <vt:variant>
        <vt:i4>1835067</vt:i4>
      </vt:variant>
      <vt:variant>
        <vt:i4>2</vt:i4>
      </vt:variant>
      <vt:variant>
        <vt:i4>0</vt:i4>
      </vt:variant>
      <vt:variant>
        <vt:i4>5</vt:i4>
      </vt:variant>
      <vt:variant>
        <vt:lpwstr/>
      </vt:variant>
      <vt:variant>
        <vt:lpwstr>_Toc216496684</vt:lpwstr>
      </vt:variant>
      <vt:variant>
        <vt:i4>983070</vt:i4>
      </vt:variant>
      <vt:variant>
        <vt:i4>3</vt:i4>
      </vt:variant>
      <vt:variant>
        <vt:i4>0</vt:i4>
      </vt:variant>
      <vt:variant>
        <vt:i4>5</vt:i4>
      </vt:variant>
      <vt:variant>
        <vt:lpwstr>http://www.iala-aism.org/</vt:lpwstr>
      </vt:variant>
      <vt:variant>
        <vt:lpwstr/>
      </vt:variant>
      <vt:variant>
        <vt:i4>3801177</vt:i4>
      </vt:variant>
      <vt:variant>
        <vt:i4>0</vt:i4>
      </vt:variant>
      <vt:variant>
        <vt:i4>0</vt:i4>
      </vt:variant>
      <vt:variant>
        <vt:i4>5</vt:i4>
      </vt:variant>
      <vt:variant>
        <vt:lpwstr>mailto:iala-aism@wanadoo.fr</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Recommendation Template</dc:title>
  <dc:creator>Mike Hadley (Home)</dc:creator>
  <cp:lastModifiedBy>Seamus Doyle</cp:lastModifiedBy>
  <cp:revision>11</cp:revision>
  <cp:lastPrinted>2008-12-16T06:04:00Z</cp:lastPrinted>
  <dcterms:created xsi:type="dcterms:W3CDTF">2014-08-12T07:43:00Z</dcterms:created>
  <dcterms:modified xsi:type="dcterms:W3CDTF">2014-09-22T08:56:00Z</dcterms:modified>
</cp:coreProperties>
</file>